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ريحان أبو الخير المقرئ
</w:t>
      </w:r>
    </w:p>
    <w:p>
      <w:pPr>
        <w:jc w:val="start"/>
        <w:bidi/>
      </w:pPr>
      <w:r>
        <w:rPr>
          <w:rFonts w:ascii="arial" w:hAnsi="arial" w:eastAsia="arial" w:cs="arial"/>
          <w:sz w:val="28"/>
          <w:szCs w:val="28"/>
          <w:b w:val="1"/>
          <w:bCs w:val="1"/>
          <w:rtl/>
        </w:rPr>
        <w:t xml:space="preserve">ريحان أبو الخير المقرئ
</w:t>
      </w:r>
    </w:p>
    <w:p>
      <w:pPr/>
      <w:r>
        <w:rPr/>
        <w:t xml:space="preserve">ريحان أبو الخير المقرئ ريحان بن تيكان بن موسك بن علي أبو الخير الضرير المقرئ البغدادي. قرأ بالروايات على أبي حفص عمر بن عبد الله بن علي الحربي. وسمع منه ومن أبي العباس أحمد بن أبي غالب ابن الطلاية وأبي القاسم سعيد بن أحمد بن الحسن بن البناء وأبي المظفر هبة الله بن أحمد بن محمد بن الشبلي وأبي الوقت عبد الأول السجزي وغيرهم.</w:t>
      </w:r>
    </w:p>
    <w:p/>
    <w:p>
      <w:pPr/>
      <w:r>
        <w:rPr/>
        <w:t xml:space="preserve">وكان شيخا صالحا دينا فاضلا. توفي سنة ست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ريحان
</w:t>
      </w:r>
    </w:p>
    <w:p>
      <w:pPr/>
      <w:r>
        <w:rPr/>
        <w:t xml:space="preserve">ريحان شيخ القراء أبو الخير ريحان بن تيكان بن موسك الكردي، البغدادي، الحربي، الضرير.</w:t>
      </w:r>
    </w:p>
    <w:p/>
    <w:p>
      <w:pPr/>
      <w:r>
        <w:rPr/>
        <w:t xml:space="preserve">كان يمكنه السماع من ابن الحصين.</w:t>
      </w:r>
    </w:p>
    <w:p/>
    <w:p>
      <w:pPr/>
      <w:r>
        <w:rPr/>
        <w:t xml:space="preserve">تلا بالروايات على عمر بن عبد الله الحربي.</w:t>
      </w:r>
    </w:p>
    <w:p/>
    <w:p>
      <w:pPr/>
      <w:r>
        <w:rPr/>
        <w:t xml:space="preserve">وسمع من: ابن الطلاية، والمبارك بن أحمد الكندي، وجماعة.</w:t>
      </w:r>
    </w:p>
    <w:p/>
    <w:p>
      <w:pPr/>
      <w:r>
        <w:rPr/>
        <w:t xml:space="preserve">وعنه: ابن الدبيثي، والضياء، وأبو عبد الله البرزالي، وابن الصيرفي، وأجاز للكمال عبد الرحمن المكبر، فتفرد بإجازته.</w:t>
      </w:r>
    </w:p>
    <w:p/>
    <w:p>
      <w:pPr/>
      <w:r>
        <w:rPr/>
        <w:t xml:space="preserve">مات في صفر، سنة ست عشرة وست مائة، وقد قارب المائة.</w:t>
      </w:r>
    </w:p>
    <w:p/>
    <w:p>
      <w:pPr/>
      <w:r>
        <w:rPr/>
        <w:t xml:space="preserve">الشقوري، ابن الرزاز: </w:t>
      </w:r>
    </w:p>
    <w:p>
      <w:pPr>
        <w:jc w:val="start"/>
        <w:bidi/>
      </w:pPr>
      <w:r>
        <w:rPr>
          <w:sz w:val="24"/>
          <w:szCs w:val="24"/>
          <w:b w:val="1"/>
          <w:bCs w:val="1"/>
          <w:rtl/>
        </w:rPr>
        <w:t xml:space="preserve">
سير أعلام النبلاء،(دار الحديث- القاهرة،2006،ط 0،ج 16،ص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2026-05-15T09:45:19+03:00</dcterms:created>
  <dcterms:modified xsi:type="dcterms:W3CDTF">2026-05-15T09:45:19+03:00</dcterms:modified>
</cp:coreProperties>
</file>

<file path=docProps/custom.xml><?xml version="1.0" encoding="utf-8"?>
<Properties xmlns="http://schemas.openxmlformats.org/officeDocument/2006/custom-properties" xmlns:vt="http://schemas.openxmlformats.org/officeDocument/2006/docPropsVTypes"/>
</file>