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الرماح النحوي
</w:t>
      </w:r>
    </w:p>
    <w:p>
      <w:pPr>
        <w:jc w:val="start"/>
        <w:bidi/>
      </w:pPr>
      <w:r>
        <w:rPr>
          <w:rFonts w:ascii="arial" w:hAnsi="arial" w:eastAsia="arial" w:cs="arial"/>
          <w:sz w:val="28"/>
          <w:szCs w:val="28"/>
          <w:b w:val="1"/>
          <w:bCs w:val="1"/>
          <w:rtl/>
        </w:rPr>
        <w:t xml:space="preserve">ابن الرماح النحوي
</w:t>
      </w:r>
    </w:p>
    <w:p>
      <w:pPr/>
      <w:r>
        <w:rPr/>
        <w:t xml:space="preserve">ابن الرماح النحوي اسمه علي بن عبد الصمد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الرماح المقرئ الشافعي
</w:t>
      </w:r>
    </w:p>
    <w:p>
      <w:pPr/>
      <w:r>
        <w:rPr/>
        <w:t xml:space="preserve">ابن الرماح المقرئ الشافعي علي بن عبد الصمد بن محمد بن مفرج الشيخ عفيف الدين ابن الرماح المصري المقرئ النحوي الشافعي. ولد سنة سبع وخمسين وخمس مائة بالقاهرة، وتوفي سنة ثلاث وثلاثين وست مائة. سمع من السلفي، وقرأ القراءات على أبي الجيوش عساكر بن علي، والإمام أبي الجود. وأخذ العربية عن أبي الحسين يحيى بن عبد الله، وتصدر للإقراء بالسيفية والمدرسة الفاضلية مدة، وحمل عنه جماعة. قال الشيخ شمس الدين: قرأت القرآن كله على النظام محمد بن عبد الكريم التبريزي، وأخبرني أنه قرأه على ابن الرماح. ولم يحدثني أحد عنه، وآخر من روى عنه بالإجازة القاضي تقي الدين سليمان. روى عنه الزكي المنذري. وكان حسن السمت، يحب الانفراد مقبلا على خويصة نفسه، منتصبا للإفادة، راغبا في الإقراء. اتصل بالسلطان مدة ولم يتغير عن طريقه وعادته.</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2026-05-15T09:42:21+03:00</dcterms:created>
  <dcterms:modified xsi:type="dcterms:W3CDTF">2026-05-15T09:42:21+03:00</dcterms:modified>
</cp:coreProperties>
</file>

<file path=docProps/custom.xml><?xml version="1.0" encoding="utf-8"?>
<Properties xmlns="http://schemas.openxmlformats.org/officeDocument/2006/custom-properties" xmlns:vt="http://schemas.openxmlformats.org/officeDocument/2006/docPropsVTypes"/>
</file>