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رستم بن علي الديلمي
</w:t>
      </w:r>
    </w:p>
    <w:p>
      <w:pPr>
        <w:jc w:val="start"/>
        <w:bidi/>
      </w:pPr>
      <w:r>
        <w:rPr>
          <w:rFonts w:ascii="arial" w:hAnsi="arial" w:eastAsia="arial" w:cs="arial"/>
          <w:sz w:val="28"/>
          <w:szCs w:val="28"/>
          <w:b w:val="1"/>
          <w:bCs w:val="1"/>
          <w:rtl/>
        </w:rPr>
        <w:t xml:space="preserve">رستم بن علي الديلمي
</w:t>
      </w:r>
    </w:p>
    <w:p>
      <w:pPr/>
      <w:r>
        <w:rPr/>
        <w:t xml:space="preserve">رستم بن علي الديلمي رستم بن علي الديلمي. كان بالري قد أظهر بدع الباطنية وأباح الفروج والدماء وسب الصحابة والخلفاء الراشدين. فتجهز إليه السلطان محمود ابن سبكتكين وقبض عليه وعلى أشياعه من أعيان الرافضة والمعتزلة. وحمل رستم بن علي وأعوانه وابنه وجماعة من الديلم وقتل السلطان جماعة منهم وصلبهم على شوارع المدينة. وأخذ ما كان قد احتجزه رستم بن علي من الجواهر. وكان قيمة ذلك خمس مائة ألف دينار، ومن الذهب مائتي ألف وستين ألف دينار، ومن الفضيات الأواني ما بلغ قيمته ثلاثين ألف دينار، ومن الثياب النسيج وغيرها خمسة آلاف ثوب وثلاث مائة ثوب. وأحرق تحت خشب المصلبين خمسون حملا من الكتب فيها كلام الفلاسفة والمعتزلة والنجامة والبدع، وكان ذلك سنة عشرين وأربع مائة.</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2026-05-15T07:09:49+03:00</dcterms:created>
  <dcterms:modified xsi:type="dcterms:W3CDTF">2026-05-15T07:09:49+03:00</dcterms:modified>
</cp:coreProperties>
</file>

<file path=docProps/custom.xml><?xml version="1.0" encoding="utf-8"?>
<Properties xmlns="http://schemas.openxmlformats.org/officeDocument/2006/custom-properties" xmlns:vt="http://schemas.openxmlformats.org/officeDocument/2006/docPropsVTypes"/>
</file>