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البرداني
</w:t>
      </w:r>
    </w:p>
    <w:p>
      <w:pPr/>
      <w:r>
        <w:rPr/>
        <w:t xml:space="preserve">البرداني  محمد بن أحمد بن محمد، أبو الحسن البرداني: فرضي من الشعراء نسبته إلى ’’ البردان ’’ من قرى بغداد في شماليها. اشتهر بأبيات من شعره. منها:</w:t>
      </w:r>
    </w:p>
    <w:p/>
    <w:p>
      <w:pPr>
        <w:jc w:val="center"/>
      </w:pPr>
      <w:r>
        <w:rPr>
          <w:color w:val="ff0000"/>
        </w:rPr>
        <w:t xml:space="preserve">لا تعجبي يا سلم من رجل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ضحك المشيب برأسه فبكى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2026-05-06T13:27:00+03:00</dcterms:created>
  <dcterms:modified xsi:type="dcterms:W3CDTF">2026-05-06T13:27:00+03:00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