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الرائض المجود
</w:t>
      </w:r>
    </w:p>
    <w:p>
      <w:pPr>
        <w:jc w:val="start"/>
        <w:bidi/>
      </w:pPr>
      <w:r>
        <w:rPr>
          <w:rFonts w:ascii="arial" w:hAnsi="arial" w:eastAsia="arial" w:cs="arial"/>
          <w:sz w:val="28"/>
          <w:szCs w:val="28"/>
          <w:b w:val="1"/>
          <w:bCs w:val="1"/>
          <w:rtl/>
        </w:rPr>
        <w:t xml:space="preserve">ابن الرائض المجود
</w:t>
      </w:r>
    </w:p>
    <w:p>
      <w:pPr/>
      <w:r>
        <w:rPr/>
        <w:t xml:space="preserve">ابن الرائض المجود  الفضل بن عمر.</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الرائض المجود
</w:t>
      </w:r>
    </w:p>
    <w:p>
      <w:pPr/>
      <w:r>
        <w:rPr/>
        <w:t xml:space="preserve">ابن الرائض المجود الفضل بن عمر بن منصور بن علي، أبو منصور، يعرف بابن الرائض، الكاتب البغدادي:</w:t>
      </w:r>
    </w:p>
    <w:p/>
    <w:p>
      <w:pPr/>
      <w:r>
        <w:rPr/>
        <w:t xml:space="preserve">قرأ بالعشر على علي بن عساكر البطائحي، وخطه جيد إلى الغاية على طريقة ابن البواب.</w:t>
      </w:r>
    </w:p>
    <w:p/>
    <w:p>
      <w:pPr/>
      <w:r>
        <w:rPr/>
        <w:t xml:space="preserve">ولد سنة اثنتين وخمسين وخمسمائة، وتوفي سنة تسع وستمائة.</w:t>
      </w:r>
    </w:p>
    <w:p/>
    <w:p>
      <w:pPr/>
      <w:r>
        <w:rPr/>
        <w:t xml:space="preserve">#ابن أخي القاضي إمام الدين القزويني الشافعيفضل الله بن عمر بن أحمد بن محمد، هو القاضي بدر الدين ابن إمام الدين القزويني الشافعي:</w:t>
      </w:r>
    </w:p>
    <w:p/>
    <w:p>
      <w:pPr/>
      <w:r>
        <w:rPr/>
        <w:t xml:space="preserve">قدم دمشق ليحج، ونزل بتربة أم الصالح عند ابن أخيه القاضي إمام الدين والخطيب جلال الدين، وحصل له ضعف فلم يمكنه السفر.</w:t>
      </w:r>
    </w:p>
    <w:p/>
    <w:p>
      <w:pPr/>
      <w:r>
        <w:rPr/>
        <w:t xml:space="preserve">وكان في شيخوخته يكرر على الوجيز وكانت له حلقة إقراء بتبريز. ثم ولي قضاء نيكسار، بلدة بالروم.</w:t>
      </w:r>
    </w:p>
    <w:p/>
    <w:p>
      <w:pPr/>
      <w:r>
        <w:rPr/>
        <w:t xml:space="preserve">وكان له خبرة بالحساب وغير ذلك. توفي سنة ست وتسعين وستمائة، وشيعه الخلق لأجل ابن أخيه.</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عمر بن منصور بن علي
</w:t>
      </w:r>
    </w:p>
    <w:p>
      <w:pPr/>
      <w:r>
        <w:rPr/>
        <w:t xml:space="preserve">الفضل بن عمر بن منصور بن علي أبو منصور: يعرف بابن الرائض الكاتب، من أهل باب الأزج، كان حافظا لكتاب الله، قرأ بالعشر على علي بن عساكر البطائحي، وخطه غاية في الجودة على طريقة ابن هلال بن البواب، ولذلك أوردناه في هذا الكتاب. بلغني أن مولده في سنة اثنتين وخمسين وخمسمائة ومات في جمادى الآخرة سنة تسع وستمائة.</w:t>
      </w:r>
    </w:p>
    <w:p>
      <w:pPr>
        <w:jc w:val="start"/>
        <w:bidi/>
      </w:pPr>
      <w:r>
        <w:rPr>
          <w:sz w:val="24"/>
          <w:szCs w:val="24"/>
          <w:b w:val="1"/>
          <w:bCs w:val="1"/>
          <w:rtl/>
        </w:rPr>
        <w:t xml:space="preserve">
معجم الأدباء / إرشاد الأريب إلى معرفة الأديب،(دار الغرب الإسلامي - بيروت،1993،ط 0،ج 5،ص 2178)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2026-05-15T05:52:35+03:00</dcterms:created>
  <dcterms:modified xsi:type="dcterms:W3CDTF">2026-05-15T05:52:35+03:00</dcterms:modified>
</cp:coreProperties>
</file>

<file path=docProps/custom.xml><?xml version="1.0" encoding="utf-8"?>
<Properties xmlns="http://schemas.openxmlformats.org/officeDocument/2006/custom-properties" xmlns:vt="http://schemas.openxmlformats.org/officeDocument/2006/docPropsVTypes"/>
</file>