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محمد بن أحمد بن أبي بكر البناء، المقدسي ويقال له البشاري، شمس الدين، أبو عبد الله: رحالة جغرافي. ولد في القدس. وتعاطى التجارة، فتجشم أسفارا هيأت له المعرفة بغوامض أحوال البلاد، ثم انقطع إلى تتبع ذلك، فطاف أكثر بلاد الإسلام، وصنف كتابه ’’ أحسن التقاسيم في معرفة الأقاليم –ط’’ قال المستشرق غلدميستر (Gildmeister): امتاز المقدسي عن سائر علماء البلدان بكثرة ملاحظاته وسعة نظره. وقال سبرنغر(Sprenger): لم يتجول سائح في البلاد كما تجول المقدسي، ولم ينتبه أحد أو يحسن ترتيب ما علم به مثله.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2026-05-04T05:09:33+03:00</dcterms:created>
  <dcterms:modified xsi:type="dcterms:W3CDTF">2026-05-04T05:09:33+03:00</dcterms:modified>
</cp:coreProperties>
</file>

<file path=docProps/custom.xml><?xml version="1.0" encoding="utf-8"?>
<Properties xmlns="http://schemas.openxmlformats.org/officeDocument/2006/custom-properties" xmlns:vt="http://schemas.openxmlformats.org/officeDocument/2006/docPropsVTypes"/>
</file>