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الدباس
</w:t>
      </w:r>
    </w:p>
    <w:p>
      <w:pPr/>
      <w:r>
        <w:rPr/>
        <w:t xml:space="preserve">الدباس  داود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أحمد، أبو الفرج بن أبي الغنائم الدباس.
</w:t>
      </w:r>
    </w:p>
    <w:p>
      <w:pPr/>
      <w:r>
        <w:rPr/>
        <w:t xml:space="preserve">داود بن أحمد، أبو الفرج بن أبي الغنائم الدباس. </w:t>
      </w:r>
    </w:p>
    <w:p/>
    <w:p>
      <w:pPr/>
      <w:r>
        <w:rPr/>
        <w:t xml:space="preserve">قال ابن النجار: كتبت عنه، وكان شيخاً صالحاً متيقظاً.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2026-05-15T01:47:45+03:00</dcterms:created>
  <dcterms:modified xsi:type="dcterms:W3CDTF">2026-05-15T01:47:45+03:00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