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القاهر بالله
</w:t>
      </w:r>
    </w:p>
    <w:p>
      <w:pPr>
        <w:jc w:val="start"/>
        <w:bidi/>
      </w:pPr>
      <w:r>
        <w:rPr>
          <w:rFonts w:ascii="arial" w:hAnsi="arial" w:eastAsia="arial" w:cs="arial"/>
          <w:sz w:val="28"/>
          <w:szCs w:val="28"/>
          <w:b w:val="1"/>
          <w:bCs w:val="1"/>
          <w:rtl/>
        </w:rPr>
        <w:t xml:space="preserve">القاهر بالله
</w:t>
      </w:r>
    </w:p>
    <w:p>
      <w:pPr/>
      <w:r>
        <w:rPr/>
        <w:t xml:space="preserve">القاهر بالله  محمد بن أحمد بن طلحة العباسي، أمير المؤمنين، القاهر ابن المعتضد ابن الموفق، أبو منصور: من خلفاء الدولة العباسية. بويع في أيام سلفه (المقتدر) أخيه لأبيه، سنة 317 هـ. وأقام يومين، وخلع وسجن. ولما قتل المقتدر (سنة 320) أخرج من السجن، وبويع، فأقام إلى سنة 322 ولم تحسن سيرته، فهاج الجند وخلعوه وكحلوا عينيه بالنار، بمسمار محمي، دفعتين. وهو أول من سمل من الخلفاء. وحبسوه ثم أطلقوه. وتوفي ببغداد. كان أسمر ربعة أصهب الشعر طويل الأنف. </w:t>
      </w:r>
    </w:p>
    <w:p>
      <w:pPr>
        <w:jc w:val="start"/>
        <w:bidi/>
      </w:pPr>
      <w:r>
        <w:rPr>
          <w:sz w:val="24"/>
          <w:szCs w:val="24"/>
          <w:b w:val="1"/>
          <w:bCs w:val="1"/>
          <w:rtl/>
        </w:rPr>
        <w:t xml:space="preserve">
الأعلام،(دار العلم للملايين - بيروت،2002،ط 15،ج 5،ص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2026-05-04T04:11:12+03:00</dcterms:created>
  <dcterms:modified xsi:type="dcterms:W3CDTF">2026-05-04T04:11:12+03:00</dcterms:modified>
</cp:coreProperties>
</file>

<file path=docProps/custom.xml><?xml version="1.0" encoding="utf-8"?>
<Properties xmlns="http://schemas.openxmlformats.org/officeDocument/2006/custom-properties" xmlns:vt="http://schemas.openxmlformats.org/officeDocument/2006/docPropsVTypes"/>
</file>