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الأمير ابن البرجمي
</w:t>
      </w:r>
    </w:p>
    <w:p>
      <w:pPr>
        <w:jc w:val="start"/>
        <w:bidi/>
      </w:pPr>
      <w:r>
        <w:rPr>
          <w:rFonts w:ascii="arial" w:hAnsi="arial" w:eastAsia="arial" w:cs="arial"/>
          <w:sz w:val="28"/>
          <w:szCs w:val="28"/>
          <w:b w:val="1"/>
          <w:bCs w:val="1"/>
          <w:rtl/>
        </w:rPr>
        <w:t xml:space="preserve">الأمير ابن البرجمي
</w:t>
      </w:r>
    </w:p>
    <w:p>
      <w:pPr/>
      <w:r>
        <w:rPr/>
        <w:t xml:space="preserve">الأمير ابن البرجمي خليل ابن البرجمي الأمير حسام الدين. أعرفه وهو يتحدث في نيابة ديوان الأمير سيف الدين بشتاك بالشام. ثم إنه تحدث في ديوان الكامل قبل أن يلي الملك. ولما ولي الكامل الملك طلبه إلى مصر ورسم له بطبلخاناه، وشد الدواوين بالشام وخلع عليه. وجهزه إلى الشام ومعه علاء الدين بن الحراني ناظر النظار بالشام، فباشر ذلك. لم يزل على حاله مدة ولاية الكامل، ولما خلع الكامل أخذت الطبلخاناة من الأمير حسام الدين المذكور. واستمر بطالا إلى أن كتب له بعشرة الأمير بدر الدين صدقة ابن الحاج بيدمر في أيام الأمير سيف الدين أرغون شاه. فلما حضر منشوره بذلك من مصر صحبة البريدي، كان قد انقطع قبل بيوم ونفث دما ومات ثاني يوم تاسع عشر شهر رجب الفرد سنة تسع وأربعين وسبع مائة في طاعون دمشق رحمه الله تعالى.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2026-05-14T21:47:43+03:00</dcterms:created>
  <dcterms:modified xsi:type="dcterms:W3CDTF">2026-05-14T21:47:43+03:00</dcterms:modified>
</cp:coreProperties>
</file>

<file path=docProps/custom.xml><?xml version="1.0" encoding="utf-8"?>
<Properties xmlns="http://schemas.openxmlformats.org/officeDocument/2006/custom-properties" xmlns:vt="http://schemas.openxmlformats.org/officeDocument/2006/docPropsVTypes"/>
</file>