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جمال الدين الهكاري
</w:t>
      </w:r>
    </w:p>
    <w:p>
      <w:pPr>
        <w:jc w:val="start"/>
        <w:bidi/>
      </w:pPr>
      <w:r>
        <w:rPr>
          <w:rFonts w:ascii="arial" w:hAnsi="arial" w:eastAsia="arial" w:cs="arial"/>
          <w:sz w:val="28"/>
          <w:szCs w:val="28"/>
          <w:b w:val="1"/>
          <w:bCs w:val="1"/>
          <w:rtl/>
        </w:rPr>
        <w:t xml:space="preserve">الأمير جمال الدين الهكاري
</w:t>
      </w:r>
    </w:p>
    <w:p>
      <w:pPr/>
      <w:r>
        <w:rPr/>
        <w:t xml:space="preserve">الأمير جمال الدين الهكاري خشترين، الأمير جمال الدين الهكاري. هو الذي عمر المدرسة الشافعية بالقصر في القاهرة. لما توفي صدر الدين عبد الملك بن درباس. عزل أخوه القاضي ضياء الدين عثمان بن عيسى بن درباس عن نيابة الحكم ووقفها، وفوض تدريسها إليه. كان الأمير جمال الدين المذكور حيا بعد الست مائة، توفي سنة تسع عشرة وست مائة بإربل، وتخرج على ابن سعادة الحمصي.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2026-05-14T18:46:45+03:00</dcterms:created>
  <dcterms:modified xsi:type="dcterms:W3CDTF">2026-05-14T18:46:45+03:00</dcterms:modified>
</cp:coreProperties>
</file>

<file path=docProps/custom.xml><?xml version="1.0" encoding="utf-8"?>
<Properties xmlns="http://schemas.openxmlformats.org/officeDocument/2006/custom-properties" xmlns:vt="http://schemas.openxmlformats.org/officeDocument/2006/docPropsVTypes"/>
</file>