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غزنة
</w:t>
      </w:r>
    </w:p>
    <w:p>
      <w:pPr>
        <w:jc w:val="start"/>
        <w:bidi/>
      </w:pPr>
      <w:r>
        <w:rPr>
          <w:rFonts w:ascii="arial" w:hAnsi="arial" w:eastAsia="arial" w:cs="arial"/>
          <w:sz w:val="28"/>
          <w:szCs w:val="28"/>
          <w:b w:val="1"/>
          <w:bCs w:val="1"/>
          <w:rtl/>
        </w:rPr>
        <w:t xml:space="preserve">صاحب غزنة
</w:t>
      </w:r>
    </w:p>
    <w:p>
      <w:pPr/>
      <w:r>
        <w:rPr/>
        <w:t xml:space="preserve">صاحب غزنة خسروشاه سلطان غزنة وابن سلاطينها. ولي الملك بعد أبيه بهرام شاه بن مسعود بن إبراهيم بن مسعود بن محمود بن سبكتكين، وكان عادلا حسن السيرة في رعيته، محبا للخير، مقربا للعلماء يرجع إلى قولهم. وكان ملكه تسع سنين، وملك بعده ابنه ملكشاه. فلما ملك، نزل علاء الدين ملك الغور فحاصر غزنة. وكان الثلج كثيرا، فلم يمكنه المقام وعاد إلى بلاده. وكانت وفاة خسروشاه سنة خمس وخمسين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2026-05-14T19:42:19+03:00</dcterms:created>
  <dcterms:modified xsi:type="dcterms:W3CDTF">2026-05-14T19:42:19+03:00</dcterms:modified>
</cp:coreProperties>
</file>

<file path=docProps/custom.xml><?xml version="1.0" encoding="utf-8"?>
<Properties xmlns="http://schemas.openxmlformats.org/officeDocument/2006/custom-properties" xmlns:vt="http://schemas.openxmlformats.org/officeDocument/2006/docPropsVTypes"/>
</file>