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المبارك بن نوفل الخره 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الخره قي
</w:t>
      </w:r>
    </w:p>
    <w:p>
      <w:pPr/>
      <w:r>
        <w:rPr/>
        <w:t xml:space="preserve">الخره قي أحمد بن المبارك بن نوفل.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المبارك بن نوفل الإمام تقي الدين أبو العباس النصيبيني الخرفي
</w:t>
      </w:r>
    </w:p>
    <w:p>
      <w:pPr/>
      <w:r>
        <w:rPr/>
        <w:t xml:space="preserve">أحمد بن المبارك بن نوفل الإمام تقي الدين أبو العباس النصيبيني الخرفي وخرفة بخاء معجمة ثم راء ساكنة ثم فاء مفتوحة من قرى نصيبين</w:t>
      </w:r>
    </w:p>
    <w:p/>
    <w:p>
      <w:pPr/>
      <w:r>
        <w:rPr/>
        <w:t xml:space="preserve">كان إماما عالما فقيها نحويا مقرئا يشغل الناس بالموصل وسنجار ودرس بهما مذهب الشافعي</w:t>
      </w:r>
    </w:p>
    <w:p/>
    <w:p>
      <w:pPr/>
      <w:r>
        <w:rPr/>
        <w:t xml:space="preserve">وله مصنفات كثيرة منها شرح الدريدية وشرح الملحة وكتاب خطب وكتاب في العروض</w:t>
      </w:r>
    </w:p>
    <w:p/>
    <w:p>
      <w:pPr/>
      <w:r>
        <w:rPr/>
        <w:t xml:space="preserve">انتقل بالآخرة إلى الجزيرة فتوفي بها في رجب سنة أربع وستين وستمائة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8،ص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2026-05-15T03:19:48+03:00</dcterms:created>
  <dcterms:modified xsi:type="dcterms:W3CDTF">2026-05-15T03:19:48+03:00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