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خراسان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خراسان
</w:t>
      </w:r>
    </w:p>
    <w:p>
      <w:pPr/>
      <w:r>
        <w:rPr/>
        <w:t xml:space="preserve">أمير خراسان خالد بن أحمد الذهلي أمير خراسان مما وراء النهر، له آثار محمودة. أنفق في طلب الحديث ألف ألف درهم. توفي في حدود السبعين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أحمد الأمير أبو الهيثم الذهلي
</w:t>
      </w:r>
    </w:p>
    <w:p>
      <w:pPr/>
      <w:r>
        <w:rPr/>
        <w:t xml:space="preserve">خالد بن أحمد الأمير أبو الهيثم الذهلي صاحب ما وراء النهر: له آثار حميدة ببخارى أكرم بها المحدثين وأعطاهم، وطلب من البخاري أن يحدث بقصره (بالصحيح) ليسمعه أولاده، فأبى، فتألم، وأخرجه من بخارى.</w:t>
      </w:r>
    </w:p>
    <w:p/>
    <w:p>
      <w:pPr/>
      <w:r>
        <w:rPr/>
        <w:t xml:space="preserve">ثم إنه والى يعقوب الصفار، وخرج على ابن طاهر، ثم حج سنة تسع وستين، فأخذ وسجن ببغداد حتى مات.</w:t>
      </w:r>
    </w:p>
    <w:p/>
    <w:p>
      <w:pPr/>
      <w:r>
        <w:rPr/>
        <w:t xml:space="preserve">روى عن: ابن راهويه، وعبيد الله القواريري، وجماعة.</w:t>
      </w:r>
    </w:p>
    <w:p/>
    <w:p>
      <w:pPr/>
      <w:r>
        <w:rPr/>
        <w:t xml:space="preserve">روى عنه: سهل بن شاذويه، وابن أبي حاتم، وابن عقدة، وأحمد بن محمد المنكدري، وجماعة آخرهم عبد الرحمن بن حمدان الجلاب.</w:t>
      </w:r>
    </w:p>
    <w:p/>
    <w:p>
      <w:pPr/>
      <w:r>
        <w:rPr/>
        <w:t xml:space="preserve">وكان يمشي في الطلب ولا يركب، وأنفق في ذلك ألف ألف درهم.</w:t>
      </w:r>
    </w:p>
    <w:p/>
    <w:p>
      <w:pPr/>
      <w:r>
        <w:rPr/>
        <w:t xml:space="preserve">مات: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2026-05-14T15:33:04+03:00</dcterms:created>
  <dcterms:modified xsi:type="dcterms:W3CDTF">2026-05-14T15:33:04+03:00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