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الرضي النقيب
</w:t>
      </w:r>
    </w:p>
    <w:p>
      <w:pPr>
        <w:jc w:val="start"/>
        <w:bidi/>
      </w:pPr>
      <w:r>
        <w:rPr>
          <w:rFonts w:ascii="arial" w:hAnsi="arial" w:eastAsia="arial" w:cs="arial"/>
          <w:sz w:val="28"/>
          <w:szCs w:val="28"/>
          <w:b w:val="1"/>
          <w:bCs w:val="1"/>
          <w:rtl/>
        </w:rPr>
        <w:t xml:space="preserve">الرضي النقيب
</w:t>
      </w:r>
    </w:p>
    <w:p>
      <w:pPr/>
      <w:r>
        <w:rPr/>
        <w:t xml:space="preserve">الرضي النقيب حيدرة بن المعمر بن محمد بن المعمر بن أحمد بن محمد بن محمد بن عبيد الله. ينتهي إلى علي بن الحسين بن علي بن أبي الطالب، أبو الفتوح ابن النقيب الطاهر أبي الغنائم، كان يلقب بالرضي. حفظ القرآن في صباه وقرأ الأدب وسمع من أبي الحسين المبارك بن عبد الجبار الصيرفي وغيره، وكتب بخطه كثيرا من كتب التفاسير والأحاديث والسير والأنساب والأدب. وكان خطه مليحا ونقله صحيحا. وقرأ طرفا صالحا من الفقه والفرائض، وولي النقابة على الطالبيين بعد وفاة أبيه. وكان شابا سريا مليح الصورة رائع الشباب، ظريف المعاني، اخترمته المنية في عنفوان شبابه. توفي سنة اثنتين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2026-05-14T14:19:58+03:00</dcterms:created>
  <dcterms:modified xsi:type="dcterms:W3CDTF">2026-05-14T14:19:58+03:00</dcterms:modified>
</cp:coreProperties>
</file>

<file path=docProps/custom.xml><?xml version="1.0" encoding="utf-8"?>
<Properties xmlns="http://schemas.openxmlformats.org/officeDocument/2006/custom-properties" xmlns:vt="http://schemas.openxmlformats.org/officeDocument/2006/docPropsVTypes"/>
</file>