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الحويرث بن عبد الله
</w:t>
      </w:r>
    </w:p>
    <w:p>
      <w:pPr>
        <w:jc w:val="start"/>
        <w:bidi/>
      </w:pPr>
      <w:r>
        <w:rPr>
          <w:rFonts w:ascii="arial" w:hAnsi="arial" w:eastAsia="arial" w:cs="arial"/>
          <w:sz w:val="28"/>
          <w:szCs w:val="28"/>
          <w:b w:val="1"/>
          <w:bCs w:val="1"/>
          <w:rtl/>
        </w:rPr>
        <w:t xml:space="preserve">الحويرث بن عبد الله
</w:t>
      </w:r>
    </w:p>
    <w:p>
      <w:pPr/>
      <w:r>
        <w:rPr/>
        <w:t xml:space="preserve">الحويرث بن عبد الله بن خلف بن مالك الغفاري، هو آبي اللحم وقد تقدم ذكره في حرف الهمزة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الحويرث بن عبد الله بن خلف بن مالك بن عبد الله بن حارثة بن غفار بن مليل الغفاري
</w:t>
      </w:r>
    </w:p>
    <w:p>
      <w:pPr/>
      <w:r>
        <w:rPr/>
        <w:t xml:space="preserve">الحويرث بن عبد الله بن خلف بن مالك بن عبد الله بن حارثة بن غفار بن مليل الغفاري  هو آبي اللحم. قيل له ذلك فيما ذكر ابن الكلبي، لأنه أبي أن يأكل ما ذبح على الأنصاب. قتل يوم حنين شهيدا، وذلك سنة ثمان من الهجرة.</w:t>
      </w:r>
    </w:p>
    <w:p>
      <w:pPr>
        <w:jc w:val="start"/>
        <w:bidi/>
      </w:pPr>
      <w:r>
        <w:rPr>
          <w:sz w:val="24"/>
          <w:szCs w:val="24"/>
          <w:b w:val="1"/>
          <w:bCs w:val="1"/>
          <w:rtl/>
        </w:rPr>
        <w:t xml:space="preserve">
الاستيعاب في معرفة الأصحاب،(دار الجيل - بيروت،1992،ط 1،ج 1،ص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2026-05-14T13:10:08+03:00</dcterms:created>
  <dcterms:modified xsi:type="dcterms:W3CDTF">2026-05-14T13:10:08+03:00</dcterms:modified>
</cp:coreProperties>
</file>

<file path=docProps/custom.xml><?xml version="1.0" encoding="utf-8"?>
<Properties xmlns="http://schemas.openxmlformats.org/officeDocument/2006/custom-properties" xmlns:vt="http://schemas.openxmlformats.org/officeDocument/2006/docPropsVTypes"/>
</file>