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المناوي
</w:t>
      </w:r>
    </w:p>
    <w:p>
      <w:pPr>
        <w:jc w:val="start"/>
        <w:bidi/>
      </w:pPr>
      <w:r>
        <w:rPr>
          <w:rFonts w:ascii="arial" w:hAnsi="arial" w:eastAsia="arial" w:cs="arial"/>
          <w:sz w:val="28"/>
          <w:szCs w:val="28"/>
          <w:b w:val="1"/>
          <w:bCs w:val="1"/>
          <w:rtl/>
        </w:rPr>
        <w:t xml:space="preserve">المناوي
</w:t>
      </w:r>
    </w:p>
    <w:p>
      <w:pPr/>
      <w:r>
        <w:rPr/>
        <w:t xml:space="preserve">المناوي  محمد بن ابراهيم بن اسحاق المناوي ثم القاهري، الشافعي، صدر الدين، ابو المعالي: قاض، عالم بالحديث. من أهل القاهرة. ناب في الحكم وولى افتاء دار العدل ثم قضاء الديار المصرية استقلالا (سنة 791) وحمدت سيرته. وصرف بعد شهرين، واعيد وصنف (كشف المناهج والتناقيح في تخريج احاديث المصابيح –خ) و (خرج له ولى الدين العراقي (مشيخة) في خمسة اجزاء. ولما سافر الناصر فرج إلى البلاد الشامية، لقتال الطاغة تيمور لنك، ذهب معه واسر ومات غريقا في الفرات، وهو مقيد. </w:t>
      </w:r>
    </w:p>
    <w:p>
      <w:pPr>
        <w:jc w:val="start"/>
        <w:bidi/>
      </w:pPr>
      <w:r>
        <w:rPr>
          <w:sz w:val="24"/>
          <w:szCs w:val="24"/>
          <w:b w:val="1"/>
          <w:bCs w:val="1"/>
          <w:rtl/>
        </w:rPr>
        <w:t xml:space="preserve">
الأعلام،(دار العلم للملايين - بيروت،2002،ط 15،ج 5،ص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2026-05-04T01:46:02+03:00</dcterms:created>
  <dcterms:modified xsi:type="dcterms:W3CDTF">2026-05-04T01:46:02+03:00</dcterms:modified>
</cp:coreProperties>
</file>

<file path=docProps/custom.xml><?xml version="1.0" encoding="utf-8"?>
<Properties xmlns="http://schemas.openxmlformats.org/officeDocument/2006/custom-properties" xmlns:vt="http://schemas.openxmlformats.org/officeDocument/2006/docPropsVTypes"/>
</file>