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الحميدي الأندلسي
</w:t>
      </w:r>
    </w:p>
    <w:p>
      <w:pPr>
        <w:jc w:val="start"/>
        <w:bidi/>
      </w:pPr>
      <w:r>
        <w:rPr>
          <w:rFonts w:ascii="arial" w:hAnsi="arial" w:eastAsia="arial" w:cs="arial"/>
          <w:sz w:val="28"/>
          <w:szCs w:val="28"/>
          <w:b w:val="1"/>
          <w:bCs w:val="1"/>
          <w:rtl/>
        </w:rPr>
        <w:t xml:space="preserve">الحميدي الأندلسي
</w:t>
      </w:r>
    </w:p>
    <w:p>
      <w:pPr/>
      <w:r>
        <w:rPr/>
        <w:t xml:space="preserve">الحميدي الأندلسي عتيق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الأندلسي
</w:t>
      </w:r>
    </w:p>
    <w:p>
      <w:pPr/>
      <w:r>
        <w:rPr/>
        <w:t xml:space="preserve">الحميدي الأندلسي عتيق بن علي بن الحسن. أبو بكر الحميدي، بفتح الحاء المهملة، وكسر الميم. الصنهاجي. من أهل الأندلس. قدم بغداد بعد الثمانين وخمس ماية، وأقام بها مدة يتفقه على أبي القاسم ابن فضلان. وسمع من أبي السعادات ابن زريق وأمثاله. وعمل مقامة يصف فيها بغداد وقدومه إليها، وسمعها منه جماعة. ثم إنه قدم مصر مرة ثانية، وعاد إلى بلاده. </w:t>
      </w:r>
    </w:p>
    <w:p/>
    <w:p>
      <w:pPr/>
      <w:r>
        <w:rPr/>
        <w:t xml:space="preserve">وكان أديبا فاضلا. وله ديوان شعر في مجلد. وصنف كتابا في الحلى والشيات وما يليق بالملوك من الآلات، صنفه لبعض ملوك المغرب. وذكر أنه تولى القضاء بالمعدن، وتوفي هناك.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2026-05-14T13:08:13+03:00</dcterms:created>
  <dcterms:modified xsi:type="dcterms:W3CDTF">2026-05-14T13:08:13+03:00</dcterms:modified>
</cp:coreProperties>
</file>

<file path=docProps/custom.xml><?xml version="1.0" encoding="utf-8"?>
<Properties xmlns="http://schemas.openxmlformats.org/officeDocument/2006/custom-properties" xmlns:vt="http://schemas.openxmlformats.org/officeDocument/2006/docPropsVTypes"/>
</file>