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شاتيل
</w:t>
      </w:r>
    </w:p>
    <w:p>
      <w:pPr>
        <w:jc w:val="start"/>
        <w:bidi/>
      </w:pPr>
      <w:r>
        <w:rPr>
          <w:rFonts w:ascii="arial" w:hAnsi="arial" w:eastAsia="arial" w:cs="arial"/>
          <w:sz w:val="28"/>
          <w:szCs w:val="28"/>
          <w:b w:val="1"/>
          <w:bCs w:val="1"/>
          <w:rtl/>
        </w:rPr>
        <w:t xml:space="preserve">ابن شاتيل
</w:t>
      </w:r>
    </w:p>
    <w:p>
      <w:pPr/>
      <w:r>
        <w:rPr/>
        <w:t xml:space="preserve">ابن شاتيل حمد بن عبد الرحمن بن محمد بن نجا بن شاتيل -بشين معجمة وبعد الألف تاء ثالثة الحروف وياء آخر الحروف ساكنة وبعدها لام- أبو علي البغدادي. تفقه على أبي الخطاب الكلوذاني، وشهد عند قاضي القضاة أبي الحسن علي بن محمد الدامغاني. واستنابه القاضي أبو الفتح عبد الله بن محمد بن البيضاوي على القضاء. وتولى القضاء بالمدائن وبنهر الملك. وسمع الحديث من أبي الخطاب ابن البطر وأبي عبد الله الحسين بن أحمد بن طلحة، وأبي محمد رزق الله بن عبد الوهاب التميمي وأبي الحسن علي بن أحمد بن يوسف الهكاري وغيرهم. وروى عنه أبو القاسم ابن عساكر وأبو سعد ابن السمعاني، وإبراهيم بن محمد بن أحمد الصقال الفقيه. ولد سنة سبع وسبعين وأربع مائة، وتوفي سنة ثمان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شاتيل
</w:t>
      </w:r>
    </w:p>
    <w:p>
      <w:pPr/>
      <w:r>
        <w:rPr/>
        <w:t xml:space="preserve">ابن شاتيل اسمه 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2026-05-14T10:54:18+03:00</dcterms:created>
  <dcterms:modified xsi:type="dcterms:W3CDTF">2026-05-14T10:54:18+03:00</dcterms:modified>
</cp:coreProperties>
</file>

<file path=docProps/custom.xml><?xml version="1.0" encoding="utf-8"?>
<Properties xmlns="http://schemas.openxmlformats.org/officeDocument/2006/custom-properties" xmlns:vt="http://schemas.openxmlformats.org/officeDocument/2006/docPropsVTypes"/>
</file>