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حمص أبو اليمان
</w:t>
      </w:r>
    </w:p>
    <w:p>
      <w:pPr>
        <w:jc w:val="start"/>
        <w:bidi/>
      </w:pPr>
      <w:r>
        <w:rPr>
          <w:rFonts w:ascii="arial" w:hAnsi="arial" w:eastAsia="arial" w:cs="arial"/>
          <w:sz w:val="28"/>
          <w:szCs w:val="28"/>
          <w:b w:val="1"/>
          <w:bCs w:val="1"/>
          <w:rtl/>
        </w:rPr>
        <w:t xml:space="preserve">قاضي حمص أبو اليمان
</w:t>
      </w:r>
    </w:p>
    <w:p>
      <w:pPr/>
      <w:r>
        <w:rPr/>
        <w:t xml:space="preserve">قاضي حمص أبو اليمان الحكم بن نافع أبو اليمان الحمصي البهراني مولاهم. روى عن حريز بن عثمان وعفير بن معدان وأبي بكر بن أبي مريم وصفوان بن عمرو وأرطاة بن المنذر التابعين، وشعيب بن أبي حمزة وسعيد بن عبد العزيز وغيرهم. وروى عنه البخاري والباقون بواسطة. وأحمد وابن معين وأبو عبيد والذهلي وأبو زرعة الدمشقي ومحمد بن عوف وعلي بن محمد الجكاني وخلق. وكان ثقة نبيلا إماما. استقدمه المأمون من حمص إلى دمشق ليوليه قضاء حمص. قال أبو زرعة: سمعت أبا اليمان يقول: ولدت سنة ثمان وثلاثين ومائة. ومات سنة إحدى وعشرين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2026-05-14T09:05:14+03:00</dcterms:created>
  <dcterms:modified xsi:type="dcterms:W3CDTF">2026-05-14T09:05:14+03:00</dcterms:modified>
</cp:coreProperties>
</file>

<file path=docProps/custom.xml><?xml version="1.0" encoding="utf-8"?>
<Properties xmlns="http://schemas.openxmlformats.org/officeDocument/2006/custom-properties" xmlns:vt="http://schemas.openxmlformats.org/officeDocument/2006/docPropsVTypes"/>
</file>