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الإباضي
</w:t>
      </w:r>
    </w:p>
    <w:p>
      <w:pPr>
        <w:jc w:val="start"/>
        <w:bidi/>
      </w:pPr>
      <w:r>
        <w:rPr>
          <w:rFonts w:ascii="arial" w:hAnsi="arial" w:eastAsia="arial" w:cs="arial"/>
          <w:sz w:val="28"/>
          <w:szCs w:val="28"/>
          <w:b w:val="1"/>
          <w:bCs w:val="1"/>
          <w:rtl/>
        </w:rPr>
        <w:t xml:space="preserve">الإباضي
</w:t>
      </w:r>
    </w:p>
    <w:p>
      <w:pPr/>
      <w:r>
        <w:rPr/>
        <w:t xml:space="preserve">الإباضي حفص بن أبي المقدام. افترقت الإباضية ثلاث فرق: حفصية، وحارثية، وبريدية. فأما حفص هذا، فإنه تميز عن الإباضية بأن قال: بين الشرك والإيمان خصلة واحدة هي معرفة الله تعالى وحده، فمن عرفه ثم كفر بما سواه من رسول أو كتاب أو قيامة أو جنة أو نار، أو ارتكب الكبائر فهو كافر، لكنه بريء من الشرك. وأما الحارثية والبريدية فقد تقدم ذكرهم.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2026-06-15T14:30:03+03:00</dcterms:created>
  <dcterms:modified xsi:type="dcterms:W3CDTF">2026-06-15T14:30:03+03:00</dcterms:modified>
</cp:coreProperties>
</file>

<file path=docProps/custom.xml><?xml version="1.0" encoding="utf-8"?>
<Properties xmlns="http://schemas.openxmlformats.org/officeDocument/2006/custom-properties" xmlns:vt="http://schemas.openxmlformats.org/officeDocument/2006/docPropsVTypes"/>
</file>