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جمال الدين ابن المطهر
</w:t>
      </w:r>
    </w:p>
    <w:p>
      <w:pPr>
        <w:jc w:val="start"/>
        <w:bidi/>
      </w:pPr>
      <w:r>
        <w:rPr>
          <w:rFonts w:ascii="arial" w:hAnsi="arial" w:eastAsia="arial" w:cs="arial"/>
          <w:sz w:val="28"/>
          <w:szCs w:val="28"/>
          <w:b w:val="1"/>
          <w:bCs w:val="1"/>
          <w:rtl/>
        </w:rPr>
        <w:t xml:space="preserve">الشيخ جمال الدين ابن المطهر
</w:t>
      </w:r>
    </w:p>
    <w:p>
      <w:pPr/>
      <w:r>
        <w:rPr/>
        <w:t xml:space="preserve">الشيخ جمال الدين ابن المطهر الحسين بن يوسف بن المطهر، الإمام العلامة ذو الفنون جمال الدين ابن المطهر الأسدي الحلي المعتزلي. عالم الشيعة وفقيههم، صاحب التصانيف التي اشتهرت في حياته. تقدم في دولة خربندا، تقدما زائدا. وكان له مماليك وإدارات كثيرة، وأملاك جيدة. وكان يصنف وهو راكب. شرح مختصر ابن الحاجب. وهو مشهور في حياته. وله كتاب في الإمامة رد عليه الشيخ تقي الدين ابن تيمية في ثلاث مجلدات، وكان يسميه ابن المنجس. وكان ابن المطهر ريض الأخلاق، مشتهر الذكر، تخرج به أقوام كثيرة وحج أواخر عمره. وخمل وانزوى إلى الحلة، وتوفي سنة خمس وعشرين وقيل سنة ست وعشرين وسبع مائة، في شهر المحرم وقد ناهز الثمانين. وكان إماما في الكلام والمعقولات. قال الشيخ شمس الدين: قيل اسمه يوسف، وله الأسرار الخفية في العلوم العقلية.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2026-05-14T07:09:00+03:00</dcterms:created>
  <dcterms:modified xsi:type="dcterms:W3CDTF">2026-05-14T07:09:00+03:00</dcterms:modified>
</cp:coreProperties>
</file>

<file path=docProps/custom.xml><?xml version="1.0" encoding="utf-8"?>
<Properties xmlns="http://schemas.openxmlformats.org/officeDocument/2006/custom-properties" xmlns:vt="http://schemas.openxmlformats.org/officeDocument/2006/docPropsVTypes"/>
</file>