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الأنصاري الخطيب الطرطوشي
</w:t>
      </w:r>
    </w:p>
    <w:p>
      <w:pPr>
        <w:jc w:val="start"/>
        <w:bidi/>
      </w:pPr>
      <w:r>
        <w:rPr>
          <w:rFonts w:ascii="arial" w:hAnsi="arial" w:eastAsia="arial" w:cs="arial"/>
          <w:sz w:val="28"/>
          <w:szCs w:val="28"/>
          <w:b w:val="1"/>
          <w:bCs w:val="1"/>
          <w:rtl/>
        </w:rPr>
        <w:t xml:space="preserve">الأنصاري الخطيب الطرطوشي
</w:t>
      </w:r>
    </w:p>
    <w:p>
      <w:pPr/>
      <w:r>
        <w:rPr/>
        <w:t xml:space="preserve">الأنصاري الخطيب الطرطوشي الحسين بن محمد بن الحسين بن علي بن عريب، الإمام أبو علي الأنصاري الطرطوشي المقرئ. أخذ القراءات بطرطوشة عن أبي محمد بن مؤمن، وبسرقسطة عن ابن الوراق. وتفقه بقاضي طرطوشة أبي العباس بن مسعدة، وغير واحد. وسمع أدب الكاتب ببلده من أبي العرب الصقلي الشاعر قراءة عليه، ورواه بعلو عن أبي عمر بن عبد البر. وأجاز له أبو محمد بن عتاب وغير واحد. وتصدر للإقراء ببلده والخطابة. وأقرأ بجامع المرية. فلما دخلها الفرنج، استوطن مرسية. وقدم للخطابة وأقرأ بها. وأخذ عنه الناس، وكانت له حلقة عظيمة. وكان مع فضائله، متواضعا، لين الجانب، وكان صالحا. أخذ عنه أبو الخطاب بن واجب، وأبو محمد بن غلبون، وتوفي سنة ثلاث وستين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2026-05-14T05:52:17+03:00</dcterms:created>
  <dcterms:modified xsi:type="dcterms:W3CDTF">2026-05-14T05:52:17+03:00</dcterms:modified>
</cp:coreProperties>
</file>

<file path=docProps/custom.xml><?xml version="1.0" encoding="utf-8"?>
<Properties xmlns="http://schemas.openxmlformats.org/officeDocument/2006/custom-properties" xmlns:vt="http://schemas.openxmlformats.org/officeDocument/2006/docPropsVTypes"/>
</file>