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w:t>
      </w:r>
    </w:p>
    <w:p>
      <w:pPr>
        <w:jc w:val="start"/>
        <w:bidi/>
      </w:pPr>
      <w:r>
        <w:rPr>
          <w:rFonts w:ascii="arial" w:hAnsi="arial" w:eastAsia="arial" w:cs="arial"/>
          <w:sz w:val="28"/>
          <w:szCs w:val="28"/>
          <w:b w:val="1"/>
          <w:bCs w:val="1"/>
          <w:rtl/>
        </w:rPr>
        <w:t xml:space="preserve">العلوي
</w:t>
      </w:r>
    </w:p>
    <w:p>
      <w:pPr/>
      <w:r>
        <w:rPr/>
        <w:t xml:space="preserve">العلوي الحسين بن داود بن علي بن عيسى بن محمد بن القاسم بن الحسين بن زيد بن الحسن بن علي بن أبي طالب النيسابوري.</w:t>
      </w:r>
    </w:p>
    <w:p/>
    <w:p>
      <w:pPr/>
      <w:r>
        <w:rPr/>
        <w:t xml:space="preserve">قال الحاكم في ترجمته: شيخ آل رسول الله صلى الله عليه وسلم في عصره بخرسان، وكان من أكثر الناس صلاة وصدقة. صحبته برهة من الدهر، فما سمعته ذكر عثمان إلا قال: الشهيد، وبكى، وما سمعته يذكر عائشة إلا قال: الصديقة بنت الصديق حبيبة حبيب الله، وبكى. توفي سنة خمس وخمسين وثلاثمائة.</w:t>
      </w:r>
    </w:p>
    <w:p/>
    <w:p>
      <w:pPr/>
      <w:r>
        <w:rPr/>
        <w:t xml:space="preserve">سمع جعفر بن أحمد الحافظ، وابن شيروية، وابن خزيمة. وكان جده علي بن عيسى أزهد العلوية في عصره، وأكثرهم اجتهادا، وكان عيسى يلقب بالفياض؛ لكثرة عطائه وجوده، وكان محمد بن القاسم ينادم الرشيد، وكان القاسم راهب آل محمد صلى الله عليه وسلم. وكان أبوه أمير المدينة وأحد من روى عنه مالك في الموطأ. قاله الحاكم.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2026-05-15T14:23:07+03:00</dcterms:created>
  <dcterms:modified xsi:type="dcterms:W3CDTF">2026-05-15T14:23:07+03:00</dcterms:modified>
</cp:coreProperties>
</file>

<file path=docProps/custom.xml><?xml version="1.0" encoding="utf-8"?>
<Properties xmlns="http://schemas.openxmlformats.org/officeDocument/2006/custom-properties" xmlns:vt="http://schemas.openxmlformats.org/officeDocument/2006/docPropsVTypes"/>
</file>