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الخضر أبو علي البخاري
</w:t>
      </w:r>
    </w:p>
    <w:p>
      <w:pPr>
        <w:jc w:val="start"/>
        <w:bidi/>
      </w:pPr>
      <w:r>
        <w:rPr>
          <w:rFonts w:ascii="arial" w:hAnsi="arial" w:eastAsia="arial" w:cs="arial"/>
          <w:sz w:val="28"/>
          <w:szCs w:val="28"/>
          <w:b w:val="1"/>
          <w:bCs w:val="1"/>
          <w:rtl/>
        </w:rPr>
        <w:t xml:space="preserve">الحسين بن الخضر أبو علي البخاري
</w:t>
      </w:r>
    </w:p>
    <w:p>
      <w:pPr/>
      <w:r>
        <w:rPr/>
        <w:t xml:space="preserve">الحسين بن الخضر أبو علي البخاري الحسين بن الخضر بن محمد أبو علي البخاري الفشيدنزجي- بفتح الفاء، وكسر الشين المعجمة، وسكون الياء آخر الحروف، وفتح الدال المهملة، وسكون النون، وفتح الزاي، وبعدها جيم، كذا رأيته مضبوطا- الفقيه الحنفي، قاضي بخارى. إمام عصره بلا مدافعة. له أصحاب وتلامذة.</w:t>
      </w:r>
    </w:p>
    <w:p/>
    <w:p>
      <w:pPr/>
      <w:r>
        <w:rPr/>
        <w:t xml:space="preserve">ناظر الشريف المرتضى، وقطعه في حديث: ’’ما تركناه صدقة’’؛ قال للمرتضى: ’’إذا جعلت ما نافية، خلا الحديث من الفائدة، فإن كل أحد لا يخفى عليه أن الميت يرثه أقرباؤه، ولا تكون تركته صدقة، ولكن لما كان الرسول عليه السلام بخلاف المسلمين، بين ذلك، فقال: ما تركناه صدقة’’.</w:t>
      </w:r>
    </w:p>
    <w:p/>
    <w:p>
      <w:pPr/>
      <w:r>
        <w:rPr/>
        <w:t xml:space="preserve">وقد سمع أبو علي هذا من ابن شبوية وغيره. وتوفي سنة أربع وعشرين وأربعمائة.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2026-05-14T04:03:07+03:00</dcterms:created>
  <dcterms:modified xsi:type="dcterms:W3CDTF">2026-05-14T04:03:07+03:00</dcterms:modified>
</cp:coreProperties>
</file>

<file path=docProps/custom.xml><?xml version="1.0" encoding="utf-8"?>
<Properties xmlns="http://schemas.openxmlformats.org/officeDocument/2006/custom-properties" xmlns:vt="http://schemas.openxmlformats.org/officeDocument/2006/docPropsVTypes"/>
</file>