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ذو اللسانين النطنزي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اللسانين النطنزي
</w:t>
      </w:r>
    </w:p>
    <w:p>
      <w:pPr/>
      <w:r>
        <w:rPr/>
        <w:t xml:space="preserve">ذو اللسانين النطنزي الحسين بن إبراهيم أبو عبد الله النطنزي الإصبهاني النحوي الملقب بذي اللسانين، من كبار أئمة العربية، توفي سنة تسع وتسعين وأربعمائة.</w:t>
      </w:r>
    </w:p>
    <w:p/>
    <w:p>
      <w:pPr/>
      <w:r>
        <w:rPr/>
        <w:t xml:space="preserve">من شعره: </w:t>
      </w:r>
    </w:p>
    <w:p/>
    <w:p>
      <w:pPr>
        <w:jc w:val="center"/>
      </w:pPr>
      <w:r>
        <w:rPr>
          <w:color w:val="ff0000"/>
        </w:rPr>
        <w:t xml:space="preserve">العز مخصوص به العلماء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للأنام سواهم ما شاءوا</w:t>
      </w:r>
    </w:p>
    <w:p/>
    <w:p>
      <w:pPr>
        <w:jc w:val="center"/>
      </w:pPr>
      <w:r>
        <w:rPr>
          <w:color w:val="ff0000"/>
        </w:rPr>
        <w:t xml:space="preserve">إن الأكابر يحكمون على الورى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وعلى الأكابر يحكم العلماء</w:t>
      </w:r>
    </w:p>
    <w:p/>
    <w:p>
      <w:pPr/>
      <w:r>
        <w:rPr/>
        <w:t xml:space="preserve">ومنه في مقص: </w:t>
      </w:r>
    </w:p>
    <w:p/>
    <w:p>
      <w:pPr>
        <w:jc w:val="center"/>
      </w:pPr>
      <w:r>
        <w:rPr>
          <w:color w:val="ff0000"/>
        </w:rPr>
        <w:t xml:space="preserve">ما عامل يحكي إذا استعملته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وأعانه خمس بهن يدور</w:t>
      </w:r>
    </w:p>
    <w:p/>
    <w:p>
      <w:pPr>
        <w:jc w:val="center"/>
      </w:pPr>
      <w:r>
        <w:rPr>
          <w:color w:val="ff0000"/>
        </w:rPr>
        <w:t xml:space="preserve">صقرا يصيد أهلة يلمعن 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أعلى بدور تحتهن بحور</w:t>
      </w:r>
    </w:p>
    <w:p/>
    <w:p>
      <w:pPr/>
      <w:r>
        <w:rPr/>
        <w:t xml:space="preserve">وكتب إلى أبي المطهر المعدائي الفقيه، وقد عاد من الحج رسالة لا تستحيل كل كلمة أو كلمتين عند القراءة بالعكس وهي: يا باب الإمام غمام الآلاء، آمنا غانما، أضاءت إضاءة الصلاء، وجوهنا أنه بر مرب، تاريخ خيرات، ملء علم ملء حلم، لا زال إماما، آدبا عابدا، نازح الأحزان، نامي الإيمان.</w:t>
      </w:r>
    </w:p>
    <w:p/>
    <w:p>
      <w:pPr/>
      <w:r>
        <w:rPr/>
        <w:t xml:space="preserve">وقال فيه نظما، والثاني كل كلمتين تقرأ مقلوبا: </w:t>
      </w:r>
    </w:p>
    <w:p/>
    <w:p>
      <w:pPr>
        <w:jc w:val="center"/>
      </w:pPr>
      <w:r>
        <w:rPr>
          <w:color w:val="ff0000"/>
        </w:rPr>
        <w:t xml:space="preserve">لسيدنا الإمام أبي المطهر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فضائل أربع كالزهر تزهر</w:t>
      </w:r>
    </w:p>
    <w:p/>
    <w:p>
      <w:pPr>
        <w:jc w:val="center"/>
      </w:pPr>
      <w:r>
        <w:rPr>
          <w:color w:val="ff0000"/>
        </w:rPr>
        <w:t xml:space="preserve">ضياء فائض، رأي عيار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عطاء ساطع، رهط مطهر</w:t>
      </w:r>
    </w:p>
    <w:p/>
    <w:p>
      <w:pPr/>
      <w:r>
        <w:rPr/>
        <w:t xml:space="preserve">وكتب إلى أبي المطهر أيضا: ’’أحصف فصحاء الوقت قولا، بارع الإعراب، نامي الإيمان، حامد ماح لزلل وللخلل وللعلل، وهو أجل ملجأ، لكل آن وناء، أقوى وقاء، لا زال آمرا صارما’’.</w:t>
      </w:r>
    </w:p>
    <w:p/>
    <w:p>
      <w:pPr/>
      <w:r>
        <w:rPr/>
        <w:t xml:space="preserve">وقال من الأبيات المفردة: </w:t>
      </w:r>
    </w:p>
    <w:p/>
    <w:p>
      <w:pPr>
        <w:jc w:val="center"/>
      </w:pPr>
      <w:r>
        <w:rPr>
          <w:color w:val="ff0000"/>
        </w:rPr>
        <w:t xml:space="preserve">أسوأ الأمة حالا رجل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عالم يقضي عليه جاهل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مال البخيل أسير تحت خاتمه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وليس يطلق إلا عند مأتمه</w:t>
      </w:r>
    </w:p>
    <w:p/>
    <w:p>
      <w:pPr/>
      <w:r>
        <w:rPr/>
        <w:t xml:space="preserve">وقال من مطلع قصيدة: </w:t>
      </w:r>
    </w:p>
    <w:p/>
    <w:p>
      <w:pPr>
        <w:jc w:val="center"/>
      </w:pPr>
      <w:r>
        <w:rPr>
          <w:color w:val="ff0000"/>
        </w:rPr>
        <w:t xml:space="preserve">طرفي لفرقة ذات طرف أكحل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يجري دما فكأن طرفي أكحلي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ألم تر أني أزور الوز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ير أمدحه ثم أستغفر</w:t>
      </w:r>
    </w:p>
    <w:p/>
    <w:p>
      <w:pPr>
        <w:jc w:val="center"/>
      </w:pPr>
      <w:r>
        <w:rPr>
          <w:color w:val="ff0000"/>
        </w:rPr>
        <w:t xml:space="preserve">وأثني عليه ويثني علي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وكل بصاحبه يسخر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وافى المشيب فطرفي دامع دام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وبان صبري فقلبي هائم حام</w:t>
      </w:r>
    </w:p>
    <w:p/>
    <w:p>
      <w:pPr>
        <w:jc w:val="center"/>
      </w:pPr>
      <w:r>
        <w:rPr>
          <w:color w:val="ff0000"/>
        </w:rPr>
        <w:t xml:space="preserve">وابيض من دمعي المحمر ناصيتي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واسود من شعري المبيض أيامي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بأبي فم شهد الضمير 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قبل المذاقة أنه عذب</w:t>
      </w:r>
    </w:p>
    <w:p/>
    <w:p>
      <w:pPr>
        <w:jc w:val="center"/>
      </w:pPr>
      <w:r>
        <w:rPr>
          <w:color w:val="ff0000"/>
        </w:rPr>
        <w:t xml:space="preserve">كشهادة لله خالصة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قبل العيان بأنه الرب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أيا لهفي على عهد التصابي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 الرشأ الرشيق لنا عشيق</w:t>
      </w:r>
    </w:p>
    <w:p/>
    <w:p>
      <w:pPr>
        <w:jc w:val="center"/>
      </w:pPr>
      <w:r>
        <w:rPr>
          <w:color w:val="ff0000"/>
        </w:rPr>
        <w:t xml:space="preserve">ونقل شرابنا عض وريق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وغصن شبابنا غض وريق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جواب ما استفهموا بفاء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يكون نصبا بلا امتراء</w:t>
      </w:r>
    </w:p>
    <w:p/>
    <w:p>
      <w:pPr>
        <w:jc w:val="center"/>
      </w:pPr>
      <w:r>
        <w:rPr>
          <w:color w:val="ff0000"/>
        </w:rPr>
        <w:t xml:space="preserve">كالأمر والنهي والتمني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والعرض والجحد والدعاء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اللسانين
</w:t>
      </w:r>
    </w:p>
    <w:p>
      <w:pPr/>
      <w:r>
        <w:rPr/>
        <w:t xml:space="preserve">ذو اللسانين  الحسين بن ابراهيم.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2026-05-15T14:26:48+03:00</dcterms:created>
  <dcterms:modified xsi:type="dcterms:W3CDTF">2026-05-15T14:26:48+03:00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