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
</w:t>
      </w:r>
    </w:p>
    <w:p>
      <w:pPr/>
      <w:r>
        <w:rPr/>
        <w:t xml:space="preserve">حسن حسن- بضم الحاء وسكون السين- جارية الإمام أحمد بن حنبل، اشتراها بعد موت زوجته، أم ابنه عبد الله، فولدت له: زينب، والحسن والحسين توأمين، وماتا بالقرب من ولادتهما. ثم ولدت له: الحسن ومحمدا، فعاشا حتى قاربا الأربعين، ثم ولدت بعدهما: سعيدا قبل موت أحمد بن حنبل بخمسين يوما، وروت عن أبي عبد الله مسائل كثيرة.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2026-05-14T01:11:00+03:00</dcterms:created>
  <dcterms:modified xsi:type="dcterms:W3CDTF">2026-05-14T01:11:00+03:00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