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محسن الحكيم
</w:t>
      </w:r>
    </w:p>
    <w:p>
      <w:pPr>
        <w:jc w:val="start"/>
        <w:bidi/>
      </w:pPr>
      <w:r>
        <w:rPr>
          <w:rFonts w:ascii="arial" w:hAnsi="arial" w:eastAsia="arial" w:cs="arial"/>
          <w:sz w:val="28"/>
          <w:szCs w:val="28"/>
          <w:b w:val="1"/>
          <w:bCs w:val="1"/>
          <w:rtl/>
        </w:rPr>
        <w:t xml:space="preserve">محسن الحكيم
</w:t>
      </w:r>
    </w:p>
    <w:p>
      <w:pPr/>
      <w:r>
        <w:rPr/>
        <w:t xml:space="preserve">محسن الحكيم  محسن بن مهدي بن صالح بن أحمد الطباطبائي الحكيم: مجتهد إمامي، نعت بالمرجع الشيعي الاعلى. ولد في بلدة بنت جبيل (بلبنان) وتعلم ونشأ في النجف. وكان أمين سر القيادة في ثورة العراق على البريطانيين (سنة 1938) قبل أن يكون المرجع الاعلى. وصنف كتبا قيل: 50 مؤلفا أجلها ’’ مستمسك العروة الوثقى - ط) كبير، و (توضيح المسائل - ط) و (حقائق الاصول - ط) و (دليل الناسك - ط) في المناسك. محسن الطباطبائي الحكيم ومن أعماله تأسيس المكتبة المعروفة باسم ’’ مكتبة آية الله الحكيم العامة ’’ في النجف. وهو أول من أسس مكتبة عامة فيها. وأنشأ لها فروعا في العراق وأندونيسيا وسورية ولبنان. وتوفي ببغداد ودفن بالنجف. </w:t>
      </w:r>
    </w:p>
    <w:p>
      <w:pPr>
        <w:jc w:val="start"/>
        <w:bidi/>
      </w:pPr>
      <w:r>
        <w:rPr>
          <w:sz w:val="24"/>
          <w:szCs w:val="24"/>
          <w:b w:val="1"/>
          <w:bCs w:val="1"/>
          <w:rtl/>
        </w:rPr>
        <w:t xml:space="preserve">
الأعلام،(دار العلم للملايين - بيروت،2002،ط 15،ج 5،ص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2026-05-03T23:49:05+03:00</dcterms:created>
  <dcterms:modified xsi:type="dcterms:W3CDTF">2026-05-03T23:49:05+03:00</dcterms:modified>
</cp:coreProperties>
</file>

<file path=docProps/custom.xml><?xml version="1.0" encoding="utf-8"?>
<Properties xmlns="http://schemas.openxmlformats.org/officeDocument/2006/custom-properties" xmlns:vt="http://schemas.openxmlformats.org/officeDocument/2006/docPropsVTypes"/>
</file>