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 بن عمرون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 بن عمرون
</w:t>
      </w:r>
    </w:p>
    <w:p>
      <w:pPr/>
      <w:r>
        <w:rPr/>
        <w:t xml:space="preserve">شهاب الدين بن عمرون الحسن بن علي بن أبي نصر بن النحاس المعروف بابن عمرون، شهاب الدين الحلبي التاجر المشهور.</w:t>
      </w:r>
    </w:p>
    <w:p/>
    <w:p>
      <w:pPr/>
      <w:r>
        <w:rPr/>
        <w:t xml:space="preserve">كان من الرؤساء الأعيان بحلب وغيرها، وكانت له صورة ومنزلة عند ملوك الشام، ويسافر بحشم وخدم ويخفر من يصحبه ويميره، وله معروف في الرحلة والمقام. توفي سنة سبع وستين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2026-05-09T14:59:31+03:00</dcterms:created>
  <dcterms:modified xsi:type="dcterms:W3CDTF">2026-05-09T14:59:31+03:00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