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القرميسيني الحنبلي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القرميسيني الحنبلي
</w:t>
      </w:r>
    </w:p>
    <w:p>
      <w:pPr/>
      <w:r>
        <w:rPr/>
        <w:t xml:space="preserve">القرميسيني الحنبلي الحسن بن علي، أبو منصور القرميسيني البغدادي. كان من فقهاء الحنابلة.</w:t>
      </w:r>
    </w:p>
    <w:p/>
    <w:p>
      <w:pPr/>
      <w:r>
        <w:rPr/>
        <w:t xml:space="preserve">صحب أبو عبد الله بن حامد، وأبا طاهر بن الغباري، وأبا طالب بن البقال، وابن الفقاعي، والقاضي أبا يعلى بن الفراء.</w:t>
      </w:r>
    </w:p>
    <w:p/>
    <w:p>
      <w:pPr/>
      <w:r>
        <w:rPr/>
        <w:t xml:space="preserve">وحاضر أبا حفص بن شاهين وطبقته، وسمع الكثير، وكتب ولم يحدث بشيء لاشتغاله بالفقه. توفي سنة 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2026-05-09T15:03:37+03:00</dcterms:created>
  <dcterms:modified xsi:type="dcterms:W3CDTF">2026-05-09T15:03:37+03:00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