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علي الخطيب المغربي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علي الخطيب المغربي
</w:t>
      </w:r>
    </w:p>
    <w:p>
      <w:pPr/>
      <w:r>
        <w:rPr/>
        <w:t xml:space="preserve">أبو علي الخطيب المغربي الحسن بن علي بن خلف أبو علي الأموي القرطبي، نزيل أشبيلية المعروف بالخطيب.</w:t>
      </w:r>
    </w:p>
    <w:p/>
    <w:p>
      <w:pPr/>
      <w:r>
        <w:rPr/>
        <w:t xml:space="preserve">أجاز له ابن رشد مروياته، وكان مائلا إلى الأدب، وله: كتاب روضة الأزهار، واللؤلؤ المنظوم في معرفة الأوقات والنجوم، وتهافت الشعراء. توفي سنة اثنتين وستمائة.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12،ص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2026-05-13T22:40:38+03:00</dcterms:created>
  <dcterms:modified xsi:type="dcterms:W3CDTF">2026-05-13T22:40:38+03:00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