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خطيب مالقة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خطيب مالقة
</w:t>
      </w:r>
    </w:p>
    <w:p>
      <w:pPr/>
      <w:r>
        <w:rPr/>
        <w:t xml:space="preserve">ابن خطيب مالقة الحسن بن علي بن صالح، أبو علي الهمداني، من أهل مالقة يعرف بابن خطيب مالقة.</w:t>
      </w:r>
    </w:p>
    <w:p/>
    <w:p>
      <w:pPr/>
      <w:r>
        <w:rPr/>
        <w:t xml:space="preserve">قدم بغداد سنة سبع وخمسين وخمسمائة طالبا للحديث. وسمع من شيوخ ذلك الوقت، وكتب بخطه كثيرا وحدث بيسير.</w:t>
      </w:r>
    </w:p>
    <w:p/>
    <w:p>
      <w:pPr/>
      <w:r>
        <w:rPr/>
        <w:t xml:space="preserve">وكانت له كتب ملاح أصول بخطوط العلماء. توفي بإصبهان سنة إحدى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2026-05-13T22:38:36+03:00</dcterms:created>
  <dcterms:modified xsi:type="dcterms:W3CDTF">2026-05-13T22:38:36+03:00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