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علي
</w:t>
      </w:r>
    </w:p>
    <w:p>
      <w:pPr>
        <w:jc w:val="start"/>
        <w:bidi/>
      </w:pPr>
      <w:r>
        <w:rPr>
          <w:rFonts w:ascii="arial" w:hAnsi="arial" w:eastAsia="arial" w:cs="arial"/>
          <w:sz w:val="28"/>
          <w:szCs w:val="28"/>
          <w:b w:val="1"/>
          <w:bCs w:val="1"/>
          <w:rtl/>
        </w:rPr>
        <w:t xml:space="preserve">محسن بن علي
</w:t>
      </w:r>
    </w:p>
    <w:p>
      <w:pPr/>
      <w:r>
        <w:rPr/>
        <w:t xml:space="preserve">محسن بن علي  محسن بن علي: من مقدمي أصحاب الدعوة الباطنية الدرزية. كان في أيام ’’الحاكم’’ الفاطمي. كنيته في كتب المذهب الدرزي ’’الخيال’’ وهو عندهم ’’ من الوزراء ’’ و’’ثالث الحدود الثلاثة’’ المتقدم ذكرهم في ترجمة حمزة بن علي بن أحمد؛ وثامن ’’ الحدود الثمانية’’ بضم الحدود الثلاثة إلى ’’الخمسة’’ المعروفين عندهم بالمعصومين. </w:t>
      </w:r>
    </w:p>
    <w:p>
      <w:pPr>
        <w:jc w:val="start"/>
        <w:bidi/>
      </w:pPr>
      <w:r>
        <w:rPr>
          <w:sz w:val="24"/>
          <w:szCs w:val="24"/>
          <w:b w:val="1"/>
          <w:bCs w:val="1"/>
          <w:rtl/>
        </w:rPr>
        <w:t xml:space="preserve">
الأعلام،(دار العلم للملايين - بيروت،2002،ط 15،ج 5،ص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2026-05-04T00:56:10+03:00</dcterms:created>
  <dcterms:modified xsi:type="dcterms:W3CDTF">2026-05-04T00:56:10+03:00</dcterms:modified>
</cp:coreProperties>
</file>

<file path=docProps/custom.xml><?xml version="1.0" encoding="utf-8"?>
<Properties xmlns="http://schemas.openxmlformats.org/officeDocument/2006/custom-properties" xmlns:vt="http://schemas.openxmlformats.org/officeDocument/2006/docPropsVTypes"/>
</file>