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بن الجمال الحنبلي
</w:t>
      </w:r>
    </w:p>
    <w:p>
      <w:pPr>
        <w:jc w:val="start"/>
        <w:bidi/>
      </w:pPr>
      <w:r>
        <w:rPr>
          <w:rFonts w:ascii="arial" w:hAnsi="arial" w:eastAsia="arial" w:cs="arial"/>
          <w:sz w:val="28"/>
          <w:szCs w:val="28"/>
          <w:b w:val="1"/>
          <w:bCs w:val="1"/>
          <w:rtl/>
        </w:rPr>
        <w:t xml:space="preserve">شرف الدين بن الجمال الحنبلي
</w:t>
      </w:r>
    </w:p>
    <w:p>
      <w:pPr/>
      <w:r>
        <w:rPr/>
        <w:t xml:space="preserve">شرف الدين بن الجمال الحنبلي الحسن بن عبد الله بن الحافظ عبد الغني بن عبد الواحد؛ الإمام شرف الدين أبو محمد بن الجمال أبي موسى المقدسي الحنبلي.</w:t>
      </w:r>
    </w:p>
    <w:p/>
    <w:p>
      <w:pPr/>
      <w:r>
        <w:rPr/>
        <w:t xml:space="preserve">ولد سنة خمس وستمائة. وتوفي سنة تسع وخمسين وستمائة. وسمع من الكندي، وابن الحرستاني، وابن ملاعب، وموسى بن عبد القادر، وابن راجح، والشيخ الموفق، وتفقه عليه وعلى غيره. وأتقن المذهب وأفتى ودرس ورحل في طلب الحديث ودرس بالجوزية.</w:t>
      </w:r>
    </w:p>
    <w:p/>
    <w:p>
      <w:pPr/>
      <w:r>
        <w:rPr/>
        <w:t xml:space="preserve">وكتب عنه الدمياطي، والأبيوردي، وروى عنه ابن الخباز، وابن الزراد، والقاضي تقي الدين سليمان. وولي القضاء ولده شهاب الدين وناب عنه أخوه شرف الدين.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2026-05-15T14:27:06+03:00</dcterms:created>
  <dcterms:modified xsi:type="dcterms:W3CDTF">2026-05-15T14:27:06+03:00</dcterms:modified>
</cp:coreProperties>
</file>

<file path=docProps/custom.xml><?xml version="1.0" encoding="utf-8"?>
<Properties xmlns="http://schemas.openxmlformats.org/officeDocument/2006/custom-properties" xmlns:vt="http://schemas.openxmlformats.org/officeDocument/2006/docPropsVTypes"/>
</file>