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المغربي الشافعي
</w:t>
      </w:r>
    </w:p>
    <w:p>
      <w:pPr>
        <w:jc w:val="start"/>
        <w:bidi/>
      </w:pPr>
      <w:r>
        <w:rPr>
          <w:rFonts w:ascii="arial" w:hAnsi="arial" w:eastAsia="arial" w:cs="arial"/>
          <w:sz w:val="28"/>
          <w:szCs w:val="28"/>
          <w:b w:val="1"/>
          <w:bCs w:val="1"/>
          <w:rtl/>
        </w:rPr>
        <w:t xml:space="preserve">المغربي الشافعي
</w:t>
      </w:r>
    </w:p>
    <w:p>
      <w:pPr/>
      <w:r>
        <w:rPr/>
        <w:t xml:space="preserve">المغربي الشافعي الحسن بن سعيد بن أحمد بن عمرو بن المأمون بن عمرو بن المأمون بن المؤمل، أبو علي بن أبي منصور القرشي، من أولاد عتبة بن أبي سفيان بن حرب، من أهل الجزيرة.</w:t>
      </w:r>
    </w:p>
    <w:p/>
    <w:p>
      <w:pPr/>
      <w:r>
        <w:rPr/>
        <w:t xml:space="preserve">قدم بغداد شابا في طلب العلم، وتفقه على مذهب الشافعي حتى برع، وسمع الحديث من عبد العزيز بن علي الأنماطي، وعلي بن أحمد بن البسري، وعمر بن عبيد الله بن البقال، وغيرهم.</w:t>
      </w:r>
    </w:p>
    <w:p/>
    <w:p>
      <w:pPr/>
      <w:r>
        <w:rPr/>
        <w:t xml:space="preserve">وعاد إلى بلاده، وولي القضاء بجزيرة ابن عمر مدة ثم عزل، وخرج إلى رحبة مالك بن طوق، وسكن آمد، وعاد إلى بغداد وحدث بها. وتوفي بفنك سنة أربع وأربعين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سعيد بن أحمد بن عمرو بن المأمون ابن عمرو بن المأمون بن المؤمل
</w:t>
      </w:r>
    </w:p>
    <w:p>
      <w:pPr/>
      <w:r>
        <w:rPr/>
        <w:t xml:space="preserve">الحسن بن سعيد بن أحمد بن عمرو بن المأمون ابن عمرو بن المأمون بن المؤمل أبو علي القرشي</w:t>
      </w:r>
    </w:p>
    <w:p/>
    <w:p>
      <w:pPr/>
      <w:r>
        <w:rPr/>
        <w:t xml:space="preserve">من أولاد عتبة بن أبي سفيان بن حرب</w:t>
      </w:r>
    </w:p>
    <w:p/>
    <w:p>
      <w:pPr/>
      <w:r>
        <w:rPr/>
        <w:t xml:space="preserve">من أهل الجزيرة</w:t>
      </w:r>
    </w:p>
    <w:p/>
    <w:p>
      <w:pPr/>
      <w:r>
        <w:rPr/>
        <w:t xml:space="preserve">تفقه ببغداد وسمع من أبوي القاسم بن الأنماطي وابن البسري وغيرهما ثم عاد إلى بلاده</w:t>
      </w:r>
    </w:p>
    <w:p/>
    <w:p>
      <w:pPr/>
      <w:r>
        <w:rPr/>
        <w:t xml:space="preserve">وولي القضاء بجزيرة ابن عمر مدة ثم عزل وسكن آمد</w:t>
      </w:r>
    </w:p>
    <w:p/>
    <w:p>
      <w:pPr/>
      <w:r>
        <w:rPr/>
        <w:t xml:space="preserve">مولده في سنة خمسين وأربعمائة وتوفي بها في شهر رمضان سنة أربع وأربعين وخمسمائة</w:t>
      </w:r>
    </w:p>
    <w:p>
      <w:pPr>
        <w:jc w:val="start"/>
        <w:bidi/>
      </w:pPr>
      <w:r>
        <w:rPr>
          <w:sz w:val="24"/>
          <w:szCs w:val="24"/>
          <w:b w:val="1"/>
          <w:bCs w:val="1"/>
          <w:rtl/>
        </w:rPr>
        <w:t xml:space="preserve">
طبقات الشافعية الكبرى،(دار هجر - القاهرة،1992،ط 2،ج 7،ص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2026-05-07T14:22:57+03:00</dcterms:created>
  <dcterms:modified xsi:type="dcterms:W3CDTF">2026-05-07T14:22:57+03:00</dcterms:modified>
</cp:coreProperties>
</file>

<file path=docProps/custom.xml><?xml version="1.0" encoding="utf-8"?>
<Properties xmlns="http://schemas.openxmlformats.org/officeDocument/2006/custom-properties" xmlns:vt="http://schemas.openxmlformats.org/officeDocument/2006/docPropsVTypes"/>
</file>