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سالم بن علي بن سلام
</w:t>
      </w:r>
    </w:p>
    <w:p>
      <w:pPr>
        <w:jc w:val="start"/>
        <w:bidi/>
      </w:pPr>
      <w:r>
        <w:rPr>
          <w:rFonts w:ascii="arial" w:hAnsi="arial" w:eastAsia="arial" w:cs="arial"/>
          <w:sz w:val="28"/>
          <w:szCs w:val="28"/>
          <w:b w:val="1"/>
          <w:bCs w:val="1"/>
          <w:rtl/>
        </w:rPr>
        <w:t xml:space="preserve">نجم الدين بن سلام
</w:t>
      </w:r>
    </w:p>
    <w:p>
      <w:pPr/>
      <w:r>
        <w:rPr/>
        <w:t xml:space="preserve">نجم الدين بن سلام الحسن بن سالم بن علي بن سلام، الصدر الكبير نجم الدين، أبو محمد، الطرابلسي الأصل، الدمشقي، الكاتب، والد المحدث أبي عبد الله محمد.</w:t>
      </w:r>
    </w:p>
    <w:p/>
    <w:p>
      <w:pPr/>
      <w:r>
        <w:rPr/>
        <w:t xml:space="preserve">سمع من يحيى الثقفي، وابن صدقة وغيرهما. وولي الزكاة ثم نظر الدواوين.</w:t>
      </w:r>
    </w:p>
    <w:p/>
    <w:p>
      <w:pPr/>
      <w:r>
        <w:rPr/>
        <w:t xml:space="preserve">وكان سمحا جوادا له دار للضيافة، لكنه دخل في أشياء، وقام في أمر الصالح إسماعيل، وفرق الذهب في بيته على الأمراء حتى جاء وأخذ دمشق، فذكر الصاحب معين الدين ابن الشيخ قال: ’’أوصاني الملك الصالح نجم الدين، أنني إذا فتحت دمشق؛ أن أعلق ابن سلام بيده على باب داره’’. فستره الله بالموت قبل أن تفتح دمشق بأشهر، وتمزقت أمواله. ونسب إلى تشيع، ولم يصح عنه. روى عنه جماعة. وتوفي سنة اثنتين وأربعين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2026-05-07T14:25:09+03:00</dcterms:created>
  <dcterms:modified xsi:type="dcterms:W3CDTF">2026-05-07T14:25:09+03:00</dcterms:modified>
</cp:coreProperties>
</file>

<file path=docProps/custom.xml><?xml version="1.0" encoding="utf-8"?>
<Properties xmlns="http://schemas.openxmlformats.org/officeDocument/2006/custom-properties" xmlns:vt="http://schemas.openxmlformats.org/officeDocument/2006/docPropsVTypes"/>
</file>