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المكارم الواعظ
</w:t>
      </w:r>
    </w:p>
    <w:p>
      <w:pPr>
        <w:jc w:val="start"/>
        <w:bidi/>
      </w:pPr>
      <w:r>
        <w:rPr>
          <w:rFonts w:ascii="arial" w:hAnsi="arial" w:eastAsia="arial" w:cs="arial"/>
          <w:sz w:val="28"/>
          <w:szCs w:val="28"/>
          <w:b w:val="1"/>
          <w:bCs w:val="1"/>
          <w:rtl/>
        </w:rPr>
        <w:t xml:space="preserve">أبو المكارم الواعظ
</w:t>
      </w:r>
    </w:p>
    <w:p>
      <w:pPr/>
      <w:r>
        <w:rPr/>
        <w:t xml:space="preserve">أبو المكارم الواعظ الحسن بن ذي النون بن أبي القاسم بن أبي الحسن الشعرى، أبو المكارم، من أهل نيسابور. سمع أبا القاسم إسماعيل بن الحسن الفرائضي، وأبا بكر عبد الغفار بن محمد بن الحسين الشيروي ومحمد بن أبي منصور الركني الدمراحي وغيرهم. </w:t>
      </w:r>
    </w:p>
    <w:p/>
    <w:p>
      <w:pPr/>
      <w:r>
        <w:rPr/>
        <w:t xml:space="preserve">وقدم بغداد ووعظ بها وظهر له القبول عند العامة. ووقعت فتن بسببه. </w:t>
      </w:r>
    </w:p>
    <w:p/>
    <w:p>
      <w:pPr/>
      <w:r>
        <w:rPr/>
        <w:t xml:space="preserve">وحدث ببغداد، وقيل: كان يميل للاعتزال، وكان متفننا كثير المحفوظ. توفي سنة خمس وأربعين وخمسمائة.</w:t>
      </w:r>
    </w:p>
    <w:p/>
    <w:p>
      <w:pPr/>
      <w:r>
        <w:rPr/>
        <w:t xml:space="preserve">وكان فقيها، وذم الأشاعرة في بغداد، وأظهر التحنبل وبالغ، وكان هو السبب في إخراج أبي الفتوح الإسفراييني من بغداد، ومال إليه الحنابلة ثم ظهر أنه معتزلي.</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2026-05-07T14:24:08+03:00</dcterms:created>
  <dcterms:modified xsi:type="dcterms:W3CDTF">2026-05-07T14:24:08+03:00</dcterms:modified>
</cp:coreProperties>
</file>

<file path=docProps/custom.xml><?xml version="1.0" encoding="utf-8"?>
<Properties xmlns="http://schemas.openxmlformats.org/officeDocument/2006/custom-properties" xmlns:vt="http://schemas.openxmlformats.org/officeDocument/2006/docPropsVTypes"/>
</file>