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الجعفري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الجعفري
</w:t>
      </w:r>
    </w:p>
    <w:p>
      <w:pPr/>
      <w:r>
        <w:rPr/>
        <w:t xml:space="preserve">الجعفري الحسن بن داود الجعفري؛ أورد له المرزباني في معجمه، قوله: </w:t>
      </w:r>
    </w:p>
    <w:p/>
    <w:p>
      <w:pPr>
        <w:jc w:val="center"/>
      </w:pPr>
      <w:r>
        <w:rPr>
          <w:color w:val="ff0000"/>
        </w:rPr>
        <w:t xml:space="preserve">حرام على عين أصابت مقاتلي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بأسهمها من مقلتي ما استحلت</w:t>
      </w:r>
    </w:p>
    <w:p/>
    <w:p>
      <w:pPr>
        <w:jc w:val="center"/>
      </w:pPr>
      <w:r>
        <w:rPr>
          <w:color w:val="ff0000"/>
        </w:rPr>
        <w:t xml:space="preserve">دعت قلبي المنقاد للحب فانثنى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إليها فلما أن أجاب تولت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2026-05-07T14:18:02+03:00</dcterms:created>
  <dcterms:modified xsi:type="dcterms:W3CDTF">2026-05-07T14:18:02+03:00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