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حركها الحنفي
</w:t>
      </w:r>
    </w:p>
    <w:p>
      <w:pPr>
        <w:jc w:val="start"/>
        <w:bidi/>
      </w:pPr>
      <w:r>
        <w:rPr>
          <w:rFonts w:ascii="arial" w:hAnsi="arial" w:eastAsia="arial" w:cs="arial"/>
          <w:sz w:val="28"/>
          <w:szCs w:val="28"/>
          <w:b w:val="1"/>
          <w:bCs w:val="1"/>
          <w:rtl/>
        </w:rPr>
        <w:t xml:space="preserve">ابن حركها الحنفي
</w:t>
      </w:r>
    </w:p>
    <w:p>
      <w:pPr/>
      <w:r>
        <w:rPr/>
        <w:t xml:space="preserve">ابن حركها الحنفي المظفر بن المبارك.</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حركها الحنفي
</w:t>
      </w:r>
    </w:p>
    <w:p>
      <w:pPr/>
      <w:r>
        <w:rPr/>
        <w:t xml:space="preserve">ابن حركها الحنفي المظفر بن المبارك بن أحمد أبو الكرم بن أبي السعادات الفقيه الحنفي المعروف بابن حركها، وهو لقب لأمه. قرأ الفقه على والده، وبرع في المذهب والخلاف. ودرس بعد وفاة والده بمدرسة سعادة على شاطئ دجلة، وقلد القضاء بسوق الثلاثاء والحسبة بمدينة السلام أجمع. وكان فقيها فاضلا حسن الأخلاق متواضعا. سمع في صباه من أبي الوقت عبد الأول، وأبي الفتح ابن البطي وغيرهما. ومولده سنة ست وأربعين وخمس مائة. وتوفي سنة إحدى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2026-05-07T12:33:20+03:00</dcterms:created>
  <dcterms:modified xsi:type="dcterms:W3CDTF">2026-05-07T12:33:20+03:00</dcterms:modified>
</cp:coreProperties>
</file>

<file path=docProps/custom.xml><?xml version="1.0" encoding="utf-8"?>
<Properties xmlns="http://schemas.openxmlformats.org/officeDocument/2006/custom-properties" xmlns:vt="http://schemas.openxmlformats.org/officeDocument/2006/docPropsVTypes"/>
</file>