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الحربي الحنبلي
</w:t>
      </w:r>
    </w:p>
    <w:p>
      <w:pPr>
        <w:jc w:val="start"/>
        <w:bidi/>
      </w:pPr>
      <w:r>
        <w:rPr>
          <w:rFonts w:ascii="arial" w:hAnsi="arial" w:eastAsia="arial" w:cs="arial"/>
          <w:sz w:val="28"/>
          <w:szCs w:val="28"/>
          <w:b w:val="1"/>
          <w:bCs w:val="1"/>
          <w:rtl/>
        </w:rPr>
        <w:t xml:space="preserve">الحربي الحنبلي
</w:t>
      </w:r>
    </w:p>
    <w:p>
      <w:pPr/>
      <w:r>
        <w:rPr/>
        <w:t xml:space="preserve">الحربي الحنبلي علي بن رشيد.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الحربي الحنبلي
</w:t>
      </w:r>
    </w:p>
    <w:p>
      <w:pPr/>
      <w:r>
        <w:rPr/>
        <w:t xml:space="preserve">الحربي الحنبلي علي بن رشيد بن أحمد بن محمد بن حسينا البغدادي الحربي. صحب عمه أخا أبيه لأمه أبا المعالي سعد بن علي الخطيري، وقد تقدم ذكره في حرف السين. وقرأ عليه الأدب، وحفظ القرآن، وتفقه لابن حنبل. وسمع من أبي الوقت عبد الأول، ونصر بن نصر بن علي العكبري، وسعيد بن أحمد بن البناء، وأبي بكر محمد بن عبيد الله بن نصر الزغوني وغيرهم. وكان حسن الطريقة عفيفا نزها. ووكله الإمام الناصر وكالة جامعة. وارتفع قدره ومنزلته. وكان يكتب خطا مليحا طريق ابن مقلة. وكان يكره الرواية، ويقل مخالطة الناس. توفي سنة خمس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2026-05-05T10:10:31+03:00</dcterms:created>
  <dcterms:modified xsi:type="dcterms:W3CDTF">2026-05-05T10:10:31+03:00</dcterms:modified>
</cp:coreProperties>
</file>

<file path=docProps/custom.xml><?xml version="1.0" encoding="utf-8"?>
<Properties xmlns="http://schemas.openxmlformats.org/officeDocument/2006/custom-properties" xmlns:vt="http://schemas.openxmlformats.org/officeDocument/2006/docPropsVTypes"/>
</file>