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الأعور
</w:t>
      </w:r>
    </w:p>
    <w:p>
      <w:pPr>
        <w:jc w:val="start"/>
        <w:bidi/>
      </w:pPr>
      <w:r>
        <w:rPr>
          <w:rFonts w:ascii="arial" w:hAnsi="arial" w:eastAsia="arial" w:cs="arial"/>
          <w:sz w:val="28"/>
          <w:szCs w:val="28"/>
          <w:b w:val="1"/>
          <w:bCs w:val="1"/>
          <w:rtl/>
        </w:rPr>
        <w:t xml:space="preserve">الأعور
</w:t>
      </w:r>
    </w:p>
    <w:p>
      <w:pPr/>
      <w:r>
        <w:rPr/>
        <w:t xml:space="preserve">الأعور حجاج الأعور بن محمد، أبو محمد المصيصي مولى سليمان بن مجالد، ترمذي الأصل سكن بغداذ. قال الإمام أحمد: ما كان أضبطه وأصح أحاديثه وأشد تعاهده للحروف، ورفع أمره جدا. مات ببغداد سنة ست ومئتين وقد تغيرعقله. وروى له البخاري ومسلم وأبو داود والترمذي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 بن محمد
</w:t>
      </w:r>
    </w:p>
    <w:p>
      <w:pPr/>
      <w:r>
        <w:rPr/>
        <w:t xml:space="preserve">الحجاج بن محمد الأعور. ويكنى أبا محمد مولى سليمان بن مجالد مولى أبي جعفر المنصور. ولم يزل ببغداد من أهلها ثم تحول إلى المصيصة بولده وعياله فأقام بها سنتين ثم قدم بغداد في حاجة فلم يزل بها حتى مات بها في شهر ربيع الأول سنة ست ومائتين. وكان ثقة صدوقا إن شاء الله. وكان قد تغير في آخر عمره حين رجع إلى بغداد.</w:t>
      </w:r>
    </w:p>
    <w:p>
      <w:pPr>
        <w:jc w:val="start"/>
        <w:bidi/>
      </w:pPr>
      <w:r>
        <w:rPr>
          <w:sz w:val="24"/>
          <w:szCs w:val="24"/>
          <w:b w:val="1"/>
          <w:bCs w:val="1"/>
          <w:rtl/>
        </w:rPr>
        <w:t xml:space="preserve">
الطبقات الكبرى،(دار الكتب العلمية - بيروت،1990،ط 1،ج 7،ص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 بن محمد الأعور
</w:t>
      </w:r>
    </w:p>
    <w:p>
      <w:pPr/>
      <w:r>
        <w:rPr/>
        <w:t xml:space="preserve">الحجاج بن محمد الأعور. ويكنى أبا محمد. مولى لسليمان بن مجالد</w:t>
      </w:r>
    </w:p>
    <w:p/>
    <w:p>
      <w:pPr/>
      <w:r>
        <w:rPr/>
        <w:t xml:space="preserve">مولى أبي جعفر المنصور أمير المؤمنين. من أهل بغداد. فتحول إلى المصيصة بعياله فنزلها سنين كثيرة. ثم رجع إلى بغداد فمات بها سنة ست ومائتين في خلافة عبد الله ابن هارون. وكان ثقة كثير الحديث عن ابن جريج وغيره. وقد كان تغير حين قدم بغداد فمات على ذلك.</w:t>
      </w:r>
    </w:p>
    <w:p>
      <w:pPr>
        <w:jc w:val="start"/>
        <w:bidi/>
      </w:pPr>
      <w:r>
        <w:rPr>
          <w:sz w:val="24"/>
          <w:szCs w:val="24"/>
          <w:b w:val="1"/>
          <w:bCs w:val="1"/>
          <w:rtl/>
        </w:rPr>
        <w:t xml:space="preserve">
الطبقات الكبرى،(دار الكتب العلمية - بيروت،1990،ط 1،ج 7،ص 339)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2026-05-05T08:58:30+03:00</dcterms:created>
  <dcterms:modified xsi:type="dcterms:W3CDTF">2026-05-05T08:58:30+03:00</dcterms:modified>
</cp:coreProperties>
</file>

<file path=docProps/custom.xml><?xml version="1.0" encoding="utf-8"?>
<Properties xmlns="http://schemas.openxmlformats.org/officeDocument/2006/custom-properties" xmlns:vt="http://schemas.openxmlformats.org/officeDocument/2006/docPropsVTypes"/>
</file>