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كاتب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كاتب مالك
</w:t>
      </w:r>
    </w:p>
    <w:p>
      <w:pPr/>
      <w:r>
        <w:rPr/>
        <w:t xml:space="preserve">كاتب مالك حبيب بن أبي حبيب مرزوق، أبو محمد المدني كاتب مالك. كان يقرأ الموطأ للناس على مالك في بعض الأوقات وبقراءته سمع يحيى بن بكير مرة. قال ابن معين: أشر السماع عرض حبيب على مالك كان يقرأ فإذا انتهى صفح أوراقا وكتب: بلغ. وقال أبو أحمد الحاكم: روى أحاديث شبيهة بالموضوعة، وعامة سماع المصريين عرض حبيب. قال ابن معين: سألوني عنه بمصر، فقلت: ليس بشيء وقال أحمد بن حنبل: ليس بثقة. وقال النسائي: متروك، وقال ابن عدي: كان يضع الحديث. توفي سنة ثمان عشرة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2026-05-05T08:02:35+03:00</dcterms:created>
  <dcterms:modified xsi:type="dcterms:W3CDTF">2026-05-05T08:02:35+03:00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