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القزويني الشافعي
</w:t>
      </w:r>
    </w:p>
    <w:p>
      <w:pPr>
        <w:jc w:val="start"/>
        <w:bidi/>
      </w:pPr>
      <w:r>
        <w:rPr>
          <w:rFonts w:ascii="arial" w:hAnsi="arial" w:eastAsia="arial" w:cs="arial"/>
          <w:sz w:val="28"/>
          <w:szCs w:val="28"/>
          <w:b w:val="1"/>
          <w:bCs w:val="1"/>
          <w:rtl/>
        </w:rPr>
        <w:t xml:space="preserve">شمس الدين القزويني الشافعي
</w:t>
      </w:r>
    </w:p>
    <w:p>
      <w:pPr/>
      <w:r>
        <w:rPr/>
        <w:t xml:space="preserve">شمس الدين القزويني الشافعي حامد بن أبي العميد بن أميري بن ورشي بن عمر، أبو الرضاء القزويني المفتي الفقيه الشافعي شمس الدين، ويكنى أبا المظفر أيضا. قرأ شيئا من الخلاف على القطب النيسابوري وكان فقيها بارعا رئيسا سمع من شهدة بنت الأبري وخطيب الموصل ويحيى الثقفي، روى عنه مجد الدين بن العديم وأبوه شهاب الدين عبد الحليم بن تيمية، وبالإجازة القاضي تقي الدين سليمان وأبو نصر محمد بن المزي وغيرهما. ولد بقزوين سنة ثمان وأربعين وقيل سنة ست وأربعين. ومات بحلب سنة ست وثلاثين وستمئة وولي قضاء حمص ودرس بحلب. وكان ابنه عماد الدين محمد مدرسا.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2026-05-05T08:11:22+03:00</dcterms:created>
  <dcterms:modified xsi:type="dcterms:W3CDTF">2026-05-05T08:11:22+03:00</dcterms:modified>
</cp:coreProperties>
</file>

<file path=docProps/custom.xml><?xml version="1.0" encoding="utf-8"?>
<Properties xmlns="http://schemas.openxmlformats.org/officeDocument/2006/custom-properties" xmlns:vt="http://schemas.openxmlformats.org/officeDocument/2006/docPropsVTypes"/>
</file>