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الحنبلي
</w:t>
      </w:r>
    </w:p>
    <w:p>
      <w:pPr>
        <w:jc w:val="start"/>
        <w:bidi/>
      </w:pPr>
      <w:r>
        <w:rPr>
          <w:rFonts w:ascii="arial" w:hAnsi="arial" w:eastAsia="arial" w:cs="arial"/>
          <w:sz w:val="28"/>
          <w:szCs w:val="28"/>
          <w:b w:val="1"/>
          <w:bCs w:val="1"/>
          <w:rtl/>
        </w:rPr>
        <w:t xml:space="preserve">الصفار الحنبلي
</w:t>
      </w:r>
    </w:p>
    <w:p>
      <w:pPr/>
      <w:r>
        <w:rPr/>
        <w:t xml:space="preserve">الصفار الحنبلي حامد بن محمد بن حامد الصفار، أبو عبد الله الأصبهاني. كان فقيها فاضلا حنبليا وله معرفة بالحديث والأدب. سمع أباه وأبا طاهر محمد بن أبي نصر التاجر المعروف بهاجر. وأبا الخير محمد بن أحمد بن محمد بن عمر الباغبان وغيرهم، وقدم بغداد حاجا، وسمع بها سنة ثمان وثمانين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محمد، أبو عبد الله الصفار الأصبهاني.
</w:t>
      </w:r>
    </w:p>
    <w:p>
      <w:pPr/>
      <w:r>
        <w:rPr/>
        <w:t xml:space="preserve">حامد بن محمد، أبو عبد الله الصفار الأصبهاني. </w:t>
      </w:r>
    </w:p>
    <w:p/>
    <w:p>
      <w:pPr/>
      <w:r>
        <w:rPr/>
        <w:t xml:space="preserve">قال ابن النجار: حدث باليسير، وكان فقيهاً حنبلياً فاضلاً، وله معرفة</w:t>
      </w:r>
    </w:p>
    <w:p/>
    <w:p>
      <w:pPr/>
      <w:r>
        <w:rPr/>
        <w:t xml:space="preserve">بالحديث والأدب.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2026-05-05T06:58:45+03:00</dcterms:created>
  <dcterms:modified xsi:type="dcterms:W3CDTF">2026-05-05T06:58:45+03:00</dcterms:modified>
</cp:coreProperties>
</file>

<file path=docProps/custom.xml><?xml version="1.0" encoding="utf-8"?>
<Properties xmlns="http://schemas.openxmlformats.org/officeDocument/2006/custom-properties" xmlns:vt="http://schemas.openxmlformats.org/officeDocument/2006/docPropsVTypes"/>
</file>