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جوالق
</w:t>
      </w:r>
    </w:p>
    <w:p>
      <w:pPr>
        <w:jc w:val="start"/>
        <w:bidi/>
      </w:pPr>
      <w:r>
        <w:rPr>
          <w:rFonts w:ascii="arial" w:hAnsi="arial" w:eastAsia="arial" w:cs="arial"/>
          <w:sz w:val="28"/>
          <w:szCs w:val="28"/>
          <w:b w:val="1"/>
          <w:bCs w:val="1"/>
          <w:rtl/>
        </w:rPr>
        <w:t xml:space="preserve">ابن جوالق
</w:t>
      </w:r>
    </w:p>
    <w:p>
      <w:pPr/>
      <w:r>
        <w:rPr/>
        <w:t xml:space="preserve">ابن جوالق اسمه مسلم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جوالق
</w:t>
      </w:r>
    </w:p>
    <w:p>
      <w:pPr/>
      <w:r>
        <w:rPr/>
        <w:t xml:space="preserve">ابن جوالق مسلم بن ثابت بن زيد بن القاسم بن أحمد النخاس البزاز أبو عبد الله، ابن أبي البركات الوكيل المعروف بابن جوالق. كان بزازا بخان الخليفة ببغداد، ثم توكل لأولاد الخلفاء بدار الشجرة. سمع من أبي يكر أحمد بن المظفر التمار، وأبي القاسم علي بن أحمد بن محمد بن بيان الرزاز، وأبي علي محمد بن سعيد بن إبراهيم بن نبهان الكاتب، وأبي الغنائم محمد بن علي بن ميمون الزيني، وغيرهم خلق كثير، وكتب بخطه الرديء كثيرا، وحدث بالكثير. وسمع منه الحفاظ، وكان صدوقا. وعلق مسائل الخلاف وناظر الفقهاء. مولده سنة أربع وتسعين وأربع مائة، وتوفي سنة اثنتين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2026-05-05T04:37:56+03:00</dcterms:created>
  <dcterms:modified xsi:type="dcterms:W3CDTF">2026-05-05T04:37:56+03:00</dcterms:modified>
</cp:coreProperties>
</file>

<file path=docProps/custom.xml><?xml version="1.0" encoding="utf-8"?>
<Properties xmlns="http://schemas.openxmlformats.org/officeDocument/2006/custom-properties" xmlns:vt="http://schemas.openxmlformats.org/officeDocument/2006/docPropsVTypes"/>
</file>