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الحنبلي
</w:t>
      </w:r>
    </w:p>
    <w:p>
      <w:pPr>
        <w:jc w:val="start"/>
        <w:bidi/>
      </w:pPr>
      <w:r>
        <w:rPr>
          <w:rFonts w:ascii="arial" w:hAnsi="arial" w:eastAsia="arial" w:cs="arial"/>
          <w:sz w:val="28"/>
          <w:szCs w:val="28"/>
          <w:b w:val="1"/>
          <w:bCs w:val="1"/>
          <w:rtl/>
        </w:rPr>
        <w:t xml:space="preserve">أبو القاسم الحنبلي
</w:t>
      </w:r>
    </w:p>
    <w:p>
      <w:pPr/>
      <w:r>
        <w:rPr/>
        <w:t xml:space="preserve">أبو القاسم الحنبلي الجنيد بن يعقوب بن الحسن بن الحجاج بن يوسف الجيلي، أبو القاسم بن أبي يوسف بن أبي علي الفقيه الحنبلي. نزل بغداد وأقام بها وقرأ الفقه على القاضي يعقوب البرزيني، والأدب على أبي منصور الجواليقي، وكتب بخطه الكثير من الفقه والأصول والخلاف والحديث والأدب وكان خطه رديئا. وسمع رزق الله بن عبد الوهاب التميمي وعلي بن أحمد بن يوسف الهكاري وعلي بن محمد بن علي العلاف وغيرهم. وتوفي سنة ست وأربعين وخمسمئة.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2026-05-05T04:48:20+03:00</dcterms:created>
  <dcterms:modified xsi:type="dcterms:W3CDTF">2026-05-05T04:48:20+03:00</dcterms:modified>
</cp:coreProperties>
</file>

<file path=docProps/custom.xml><?xml version="1.0" encoding="utf-8"?>
<Properties xmlns="http://schemas.openxmlformats.org/officeDocument/2006/custom-properties" xmlns:vt="http://schemas.openxmlformats.org/officeDocument/2006/docPropsVTypes"/>
</file>