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الجليد
</w:t>
      </w:r>
    </w:p>
    <w:p>
      <w:pPr>
        <w:jc w:val="start"/>
        <w:bidi/>
      </w:pPr>
      <w:r>
        <w:rPr>
          <w:rFonts w:ascii="arial" w:hAnsi="arial" w:eastAsia="arial" w:cs="arial"/>
          <w:sz w:val="28"/>
          <w:szCs w:val="28"/>
          <w:b w:val="1"/>
          <w:bCs w:val="1"/>
          <w:rtl/>
        </w:rPr>
        <w:t xml:space="preserve">ابن أبي الجليد
</w:t>
      </w:r>
    </w:p>
    <w:p>
      <w:pPr/>
      <w:r>
        <w:rPr/>
        <w:t xml:space="preserve">ابن أبي الجليد عبيد بن مسعدة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مسعدة
</w:t>
      </w:r>
    </w:p>
    <w:p>
      <w:pPr/>
      <w:r>
        <w:rPr/>
        <w:t xml:space="preserve">عبيد بن مسعدة يعرف بابن أبي الجليد، قال المرزباني: أبو الجليد الفزاري المنظوري المدني اسمه مسعدة، وابنه ابن أبي الجليد نحوي أهل البصرة اسمه عبيد بن مسعدة، وكان أبو الجليد أعرابيا بدويا علامة، وكان الضحاك بن عثمان يروي عنه؛ وأبو الجليد هو القائل ورأى جارية سوداء غليظة الجسم:</w:t>
      </w:r>
    </w:p>
    <w:p/>
    <w:p>
      <w:pPr>
        <w:jc w:val="center"/>
      </w:pPr>
      <w:r>
        <w:rPr>
          <w:color w:val="ff0000"/>
        </w:rPr>
        <w:t xml:space="preserve">إن لا يصبني أجلي فأخترم</w:t>
      </w:r>
      <w:r>
        <w:rPr>
          <w:color w:val="ff0000"/>
        </w:rPr>
        <w:t xml:space="preserve">      </w:t>
      </w:r>
      <w:r>
        <w:rPr>
          <w:color w:val="ff0000"/>
        </w:rPr>
        <w:t xml:space="preserve">أشتر من مالي صناعا كالصتم </w:t>
      </w:r>
    </w:p>
    <w:p/>
    <w:p>
      <w:pPr>
        <w:jc w:val="center"/>
      </w:pPr>
      <w:r>
        <w:rPr>
          <w:color w:val="ff0000"/>
        </w:rPr>
        <w:t xml:space="preserve">عريضة المعطس خشناء القدم</w:t>
      </w:r>
      <w:r>
        <w:rPr>
          <w:color w:val="ff0000"/>
        </w:rPr>
        <w:t xml:space="preserve">      </w:t>
      </w:r>
      <w:r>
        <w:rPr>
          <w:color w:val="ff0000"/>
        </w:rPr>
        <w:t xml:space="preserve">تكون أم ولد وتختدم</w:t>
      </w:r>
    </w:p>
    <w:p/>
    <w:p>
      <w:pPr>
        <w:jc w:val="center"/>
      </w:pPr>
      <w:r>
        <w:rPr>
          <w:color w:val="ff0000"/>
        </w:rPr>
        <w:t xml:space="preserve">إذا ابنها جاء بشر لم يلم</w:t>
      </w:r>
      <w:r>
        <w:rPr>
          <w:color w:val="ff0000"/>
        </w:rPr>
        <w:t xml:space="preserve">      </w:t>
      </w:r>
      <w:r>
        <w:rPr>
          <w:color w:val="ff0000"/>
        </w:rPr>
        <w:t xml:space="preserve">يقتل الناس ولا يوفي الذمم.</w:t>
      </w:r>
    </w:p>
    <w:p/>
    <w:p>
      <w:pPr>
        <w:jc w:val="start"/>
        <w:bidi/>
      </w:pPr>
      <w:r>
        <w:rPr>
          <w:sz w:val="24"/>
          <w:szCs w:val="24"/>
          <w:b w:val="1"/>
          <w:bCs w:val="1"/>
          <w:rtl/>
        </w:rPr>
        <w:t xml:space="preserve">
معجم الأدباء / إرشاد الأريب إلى معرفة الأديب،(دار الغرب الإسلامي - بيروت،1993،ط 0،ج 4،ص 1584)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2026-05-06T13:09:36+03:00</dcterms:created>
  <dcterms:modified xsi:type="dcterms:W3CDTF">2026-05-06T13:09:36+03:00</dcterms:modified>
</cp:coreProperties>
</file>

<file path=docProps/custom.xml><?xml version="1.0" encoding="utf-8"?>
<Properties xmlns="http://schemas.openxmlformats.org/officeDocument/2006/custom-properties" xmlns:vt="http://schemas.openxmlformats.org/officeDocument/2006/docPropsVTypes"/>
</file>