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المعتزلي رأس الجعفرية
</w:t>
      </w:r>
    </w:p>
    <w:p>
      <w:pPr>
        <w:jc w:val="start"/>
        <w:bidi/>
      </w:pPr>
      <w:r>
        <w:rPr>
          <w:rFonts w:ascii="arial" w:hAnsi="arial" w:eastAsia="arial" w:cs="arial"/>
          <w:sz w:val="28"/>
          <w:szCs w:val="28"/>
          <w:b w:val="1"/>
          <w:bCs w:val="1"/>
          <w:rtl/>
        </w:rPr>
        <w:t xml:space="preserve">المعتزلي رأس الجعفرية
</w:t>
      </w:r>
    </w:p>
    <w:p>
      <w:pPr/>
      <w:r>
        <w:rPr/>
        <w:t xml:space="preserve">المعتزلي رأس الجعفرية جعفر بن ميسر المعتزلي، رأس الجعفرية. وهم طائفة ينسبون إليه قالوا: إن الله لا يقدر على ظلم العقلاء ويقدر على ظلم الأطفال والمجانين. وقال جعفر هذا: فساق هذه الأمة شر من الزنادقة والمجوس، وسارق الحبة منخلع من الإيمان وأثبت الخلود في النار بالعقل قبل ورود الشرع وإن الله تعالى خلق القرآن في اللوح المحفوظ فلا يجوز أن ينتقل وما نقرأه نحن فهو حكاية عن المكتوب في اللوح المحفوظ، والقراءة فعلنا وخلقنا.</w:t>
      </w:r>
    </w:p>
    <w:p>
      <w:pPr>
        <w:jc w:val="start"/>
        <w:bidi/>
      </w:pPr>
      <w:r>
        <w:rPr>
          <w:sz w:val="24"/>
          <w:szCs w:val="24"/>
          <w:b w:val="1"/>
          <w:bCs w:val="1"/>
          <w:rtl/>
        </w:rPr>
        <w:t xml:space="preserve">
الوافي بالوفيات،(دار فرانز شتاينر، فيسبادن، ألمانيا / دار إحياء التراث - بيروت،2000،ط 1،ج 11،ص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2026-05-05T01:33:54+03:00</dcterms:created>
  <dcterms:modified xsi:type="dcterms:W3CDTF">2026-05-05T01:33:54+03:00</dcterms:modified>
</cp:coreProperties>
</file>

<file path=docProps/custom.xml><?xml version="1.0" encoding="utf-8"?>
<Properties xmlns="http://schemas.openxmlformats.org/officeDocument/2006/custom-properties" xmlns:vt="http://schemas.openxmlformats.org/officeDocument/2006/docPropsVTypes"/>
</file>