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المقرئ
</w:t>
      </w:r>
    </w:p>
    <w:p>
      <w:pPr>
        <w:jc w:val="start"/>
        <w:bidi/>
      </w:pPr>
      <w:r>
        <w:rPr>
          <w:rFonts w:ascii="arial" w:hAnsi="arial" w:eastAsia="arial" w:cs="arial"/>
          <w:sz w:val="28"/>
          <w:szCs w:val="28"/>
          <w:b w:val="1"/>
          <w:bCs w:val="1"/>
          <w:rtl/>
        </w:rPr>
        <w:t xml:space="preserve">التنوخي المقرئ
</w:t>
      </w:r>
    </w:p>
    <w:p>
      <w:pPr/>
      <w:r>
        <w:rPr/>
        <w:t xml:space="preserve">التنوخي المقرئ جعفر بن محمد بن أحمد بن إسحاق بن البهلول، أبو محمد التنوخي الأنباري البغدادي المقرئ. ولد سنة ثلاث وثلاثمئة وكان يقرئ بحرف عاصم وحمزة والكسائي. وسمع هو وأخوه علي من البغوي وأبي بكر بن أبي داود وغيرهما وعرض عليه قضاء بغداد فأباه تورعا. توفي سنة سبع وسبعين وثلاثمئة.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أحمد بن إسحاق بن البهلول أبو محمد التنوخي، الأنباري الأصل
</w:t>
      </w:r>
    </w:p>
    <w:p>
      <w:pPr/>
      <w:r>
        <w:rPr/>
        <w:t xml:space="preserve">جعفر بن محمد بن أحمد بن إسحاق بن البهلول أبو محمد التنوخي، الأنباري الأصل من البيت المشهور.</w:t>
      </w:r>
    </w:p>
    <w:p/>
    <w:p>
      <w:pPr/>
      <w:r>
        <w:rPr/>
        <w:t xml:space="preserve">قال الخطيب: ذكر لي أبو القاسم التنوخي أنه ولد ببغداد، في ذي القعدة، من سنة ثلاث وثلاثمائة.</w:t>
      </w:r>
    </w:p>
    <w:p/>
    <w:p>
      <w:pPr/>
      <w:r>
        <w:rPr/>
        <w:t xml:space="preserve">قال: وكان أحد القراء للقرآن بحرف عاصم وحمزة والكسائي.</w:t>
      </w:r>
    </w:p>
    <w:p/>
    <w:p>
      <w:pPr/>
      <w:r>
        <w:rPr/>
        <w:t xml:space="preserve">وكتب هو وأخوه على الحديث في موضع واحد.</w:t>
      </w:r>
    </w:p>
    <w:p/>
    <w:p>
      <w:pPr/>
      <w:r>
        <w:rPr/>
        <w:t xml:space="preserve">قال: وأصل كل واحد منهما أصل الآخر، وشيوخ كل واحد منهما شيوخ الآخر.</w:t>
      </w:r>
    </w:p>
    <w:p/>
    <w:p>
      <w:pPr/>
      <w:r>
        <w:rPr/>
        <w:t xml:space="preserve">وحدث عن عبد الله بن محمد البغوي، وأبي الليث الفرائضي، وجده أحمد بن إسحاق بن البهلول، وغيرهم.</w:t>
      </w:r>
    </w:p>
    <w:p/>
    <w:p>
      <w:pPr/>
      <w:r>
        <w:rPr/>
        <w:t xml:space="preserve">وعرض عليه القضاء والشهادة فأباهما، تورعا وتقللا وصلاحا.</w:t>
      </w:r>
    </w:p>
    <w:p/>
    <w:p>
      <w:pPr/>
      <w:r>
        <w:rPr/>
        <w:t xml:space="preserve">قال الخطيب: قال لي علي بن المحسن: مات جعفر بن أبي طالب ابن البهلول ببغداد، ليلة الأربعاء، لثمان وعشرين ليلة خلت من جمادى الآخرة، سنة سبع وسبعين وثلاثمائة، ودفن من الغد إلى جانب داره، بسكة أبي العباس الطوسي.</w:t>
      </w:r>
    </w:p>
    <w:p/>
    <w:p>
      <w:pPr/>
      <w:r>
        <w:rPr/>
        <w:t xml:space="preserve">قال - أعني الخطيب -: وهو أخو علي والبهلول إبني محمد بن أحمد بن إسحاق بن البهلول. رحمهم الله تعالى.</w:t>
      </w:r>
    </w:p>
    <w:p>
      <w:pPr>
        <w:jc w:val="start"/>
        <w:bidi/>
      </w:pPr>
      <w:r>
        <w:rPr>
          <w:sz w:val="24"/>
          <w:szCs w:val="24"/>
          <w:b w:val="1"/>
          <w:bCs w:val="1"/>
          <w:rtl/>
        </w:rPr>
        <w:t xml:space="preserve">
الطبقات السنية في تراجم الحنفية،(دار الرفاعي - الرياض،1983،ط 0،ج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2026-05-05T01:19:11+03:00</dcterms:created>
  <dcterms:modified xsi:type="dcterms:W3CDTF">2026-05-05T01:19:11+03:00</dcterms:modified>
</cp:coreProperties>
</file>

<file path=docProps/custom.xml><?xml version="1.0" encoding="utf-8"?>
<Properties xmlns="http://schemas.openxmlformats.org/officeDocument/2006/custom-properties" xmlns:vt="http://schemas.openxmlformats.org/officeDocument/2006/docPropsVTypes"/>
</file>