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المثنى بن عمران
</w:t>
      </w:r>
    </w:p>
    <w:p>
      <w:pPr>
        <w:jc w:val="start"/>
        <w:bidi/>
      </w:pPr>
      <w:r>
        <w:rPr>
          <w:rFonts w:ascii="arial" w:hAnsi="arial" w:eastAsia="arial" w:cs="arial"/>
          <w:sz w:val="28"/>
          <w:szCs w:val="28"/>
          <w:b w:val="1"/>
          <w:bCs w:val="1"/>
          <w:rtl/>
        </w:rPr>
        <w:t xml:space="preserve">المثنى بن عمران
</w:t>
      </w:r>
    </w:p>
    <w:p>
      <w:pPr/>
      <w:r>
        <w:rPr/>
        <w:t xml:space="preserve">المثنى بن عمران  المثنى بن عمران العائذي، من عائذة قريش: شجاع ثائر، من الحرورية. كان مع الضحاك بن قيس لما خرج في العراق. وولاه الضحاك على الكوفة، فقصده يزيد بن عمر بن هبيرة، فاقتتلا أياما، بعين التمر، ثم بالنخيلة فالبصرة. قال ابن الأثير:’’كان المثنى على الكوفة وهو خليفة للخوارج بالعراق). </w:t>
      </w:r>
    </w:p>
    <w:p>
      <w:pPr>
        <w:jc w:val="start"/>
        <w:bidi/>
      </w:pPr>
      <w:r>
        <w:rPr>
          <w:sz w:val="24"/>
          <w:szCs w:val="24"/>
          <w:b w:val="1"/>
          <w:bCs w:val="1"/>
          <w:rtl/>
        </w:rPr>
        <w:t xml:space="preserve">
الأعلام،(دار العلم للملايين - بيروت،2002،ط 15،ج 5،ص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2026-05-03T21:53:47+03:00</dcterms:created>
  <dcterms:modified xsi:type="dcterms:W3CDTF">2026-05-03T21:53:47+03:00</dcterms:modified>
</cp:coreProperties>
</file>

<file path=docProps/custom.xml><?xml version="1.0" encoding="utf-8"?>
<Properties xmlns="http://schemas.openxmlformats.org/officeDocument/2006/custom-properties" xmlns:vt="http://schemas.openxmlformats.org/officeDocument/2006/docPropsVTypes"/>
</file>