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الدميري الحنفي
</w:t>
      </w:r>
    </w:p>
    <w:p>
      <w:pPr>
        <w:jc w:val="start"/>
        <w:bidi/>
      </w:pPr>
      <w:r>
        <w:rPr>
          <w:rFonts w:ascii="arial" w:hAnsi="arial" w:eastAsia="arial" w:cs="arial"/>
          <w:sz w:val="28"/>
          <w:szCs w:val="28"/>
          <w:b w:val="1"/>
          <w:bCs w:val="1"/>
          <w:rtl/>
        </w:rPr>
        <w:t xml:space="preserve">تاج الدين الدميري الحنفي
</w:t>
      </w:r>
    </w:p>
    <w:p>
      <w:pPr/>
      <w:r>
        <w:rPr/>
        <w:t xml:space="preserve">تاج الدين الدميري الحنفي جعفر بن الحسن بن إبراهيم، الفقيه تاج الدين أبو الفضل الدميري، المصري الحنفي العدل.</w:t>
      </w:r>
    </w:p>
    <w:p/>
    <w:p>
      <w:pPr/>
      <w:r>
        <w:rPr/>
        <w:t xml:space="preserve">قرأ القرآن على أبي الجيوش عساكر بن علي، وتفقه على الجمال عبد الله بن محمد بن سعد الله والبدر عبد الوهاب بن يوسف وسمع من عبد الله بن بري وأبي الفضل الغزنوي وجماعة ودرس بمدرسة السيوفيين مدة ونسخ بخطه المليح كثيرا وكان حسن السمت منجمعا عن الناس.</w:t>
      </w:r>
    </w:p>
    <w:p/>
    <w:p>
      <w:pPr/>
      <w:r>
        <w:rPr/>
        <w:t xml:space="preserve">ولد في حدود سنة خمس وخمسين.</w:t>
      </w:r>
    </w:p>
    <w:p/>
    <w:p>
      <w:pPr/>
      <w:r>
        <w:rPr/>
        <w:t xml:space="preserve">روى عنه المنذري وقال: توفي في ذي القعدة سنة ثلاث وعشرين وستمئة.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2026-05-04T23:14:01+03:00</dcterms:created>
  <dcterms:modified xsi:type="dcterms:W3CDTF">2026-05-04T23:14:01+03:00</dcterms:modified>
</cp:coreProperties>
</file>

<file path=docProps/custom.xml><?xml version="1.0" encoding="utf-8"?>
<Properties xmlns="http://schemas.openxmlformats.org/officeDocument/2006/custom-properties" xmlns:vt="http://schemas.openxmlformats.org/officeDocument/2006/docPropsVTypes"/>
</file>